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color w:val="auto"/>
          <w:sz w:val="56"/>
          <w:szCs w:val="56"/>
          <w:highlight w:val="none"/>
        </w:rPr>
      </w:pPr>
    </w:p>
    <w:p>
      <w:pPr>
        <w:pStyle w:val="15"/>
        <w:jc w:val="center"/>
        <w:rPr>
          <w:color w:val="auto"/>
          <w:sz w:val="56"/>
          <w:szCs w:val="56"/>
          <w:highlight w:val="none"/>
        </w:rPr>
      </w:pPr>
    </w:p>
    <w:p>
      <w:pPr>
        <w:pStyle w:val="15"/>
        <w:jc w:val="center"/>
        <w:rPr>
          <w:color w:val="auto"/>
          <w:sz w:val="84"/>
          <w:szCs w:val="84"/>
          <w:highlight w:val="none"/>
        </w:rPr>
      </w:pPr>
    </w:p>
    <w:p>
      <w:pPr>
        <w:pStyle w:val="15"/>
        <w:jc w:val="center"/>
        <w:rPr>
          <w:color w:val="auto"/>
          <w:sz w:val="84"/>
          <w:szCs w:val="84"/>
          <w:highlight w:val="none"/>
        </w:rPr>
      </w:pPr>
    </w:p>
    <w:p>
      <w:pPr>
        <w:pStyle w:val="15"/>
        <w:jc w:val="center"/>
        <w:rPr>
          <w:rFonts w:hint="eastAsia" w:ascii="方正小标宋_GBK" w:hAnsi="方正小标宋_GBK" w:eastAsia="方正小标宋_GBK" w:cs="方正小标宋_GBK"/>
          <w:color w:val="auto"/>
          <w:sz w:val="84"/>
          <w:szCs w:val="84"/>
          <w:highlight w:val="none"/>
        </w:rPr>
      </w:pPr>
      <w:r>
        <w:rPr>
          <w:rFonts w:hint="eastAsia" w:ascii="方正小标宋_GBK" w:hAnsi="方正小标宋_GBK" w:eastAsia="方正小标宋_GBK" w:cs="方正小标宋_GBK"/>
          <w:color w:val="auto"/>
          <w:sz w:val="84"/>
          <w:szCs w:val="84"/>
          <w:highlight w:val="none"/>
        </w:rPr>
        <w:t>202</w:t>
      </w:r>
      <w:r>
        <w:rPr>
          <w:rFonts w:hint="eastAsia" w:ascii="方正小标宋_GBK" w:hAnsi="方正小标宋_GBK" w:eastAsia="方正小标宋_GBK" w:cs="方正小标宋_GBK"/>
          <w:color w:val="auto"/>
          <w:sz w:val="84"/>
          <w:szCs w:val="84"/>
          <w:highlight w:val="none"/>
          <w:lang w:val="en-US" w:eastAsia="zh-CN"/>
        </w:rPr>
        <w:t>2</w:t>
      </w:r>
      <w:r>
        <w:rPr>
          <w:rFonts w:hint="eastAsia" w:ascii="方正小标宋_GBK" w:hAnsi="方正小标宋_GBK" w:eastAsia="方正小标宋_GBK" w:cs="方正小标宋_GBK"/>
          <w:color w:val="auto"/>
          <w:sz w:val="84"/>
          <w:szCs w:val="84"/>
          <w:highlight w:val="none"/>
        </w:rPr>
        <w:t>年度</w:t>
      </w:r>
    </w:p>
    <w:p>
      <w:pPr>
        <w:pStyle w:val="15"/>
        <w:jc w:val="center"/>
        <w:rPr>
          <w:rFonts w:hint="default" w:ascii="方正小标宋_GBK" w:hAnsi="方正小标宋_GBK" w:eastAsia="方正小标宋_GBK" w:cs="方正小标宋_GBK"/>
          <w:color w:val="auto"/>
          <w:sz w:val="84"/>
          <w:szCs w:val="84"/>
          <w:highlight w:val="none"/>
          <w:lang w:val="en-US" w:eastAsia="zh-CN"/>
        </w:rPr>
      </w:pPr>
      <w:r>
        <w:rPr>
          <w:rFonts w:hint="eastAsia" w:ascii="方正小标宋_GBK" w:hAnsi="方正小标宋_GBK" w:eastAsia="方正小标宋_GBK" w:cs="方正小标宋_GBK"/>
          <w:color w:val="auto"/>
          <w:sz w:val="84"/>
          <w:szCs w:val="84"/>
          <w:highlight w:val="none"/>
          <w:lang w:eastAsia="zh-CN"/>
        </w:rPr>
        <w:t>湖南省</w:t>
      </w:r>
      <w:r>
        <w:rPr>
          <w:rFonts w:hint="eastAsia" w:ascii="方正小标宋_GBK" w:hAnsi="方正小标宋_GBK" w:eastAsia="方正小标宋_GBK" w:cs="方正小标宋_GBK"/>
          <w:color w:val="auto"/>
          <w:sz w:val="84"/>
          <w:szCs w:val="84"/>
          <w:highlight w:val="none"/>
          <w:lang w:val="en-US" w:eastAsia="zh-CN"/>
        </w:rPr>
        <w:t>少年儿童图书馆</w:t>
      </w:r>
    </w:p>
    <w:p>
      <w:pPr>
        <w:pStyle w:val="15"/>
        <w:jc w:val="center"/>
        <w:rPr>
          <w:rFonts w:hint="eastAsia" w:ascii="方正小标宋_GBK" w:hAnsi="方正小标宋_GBK" w:eastAsia="方正小标宋_GBK" w:cs="方正小标宋_GBK"/>
          <w:color w:val="auto"/>
          <w:sz w:val="84"/>
          <w:szCs w:val="84"/>
          <w:highlight w:val="none"/>
        </w:rPr>
      </w:pPr>
      <w:r>
        <w:rPr>
          <w:rFonts w:hint="eastAsia" w:ascii="方正小标宋_GBK" w:hAnsi="方正小标宋_GBK" w:eastAsia="方正小标宋_GBK" w:cs="方正小标宋_GBK"/>
          <w:color w:val="auto"/>
          <w:sz w:val="84"/>
          <w:szCs w:val="84"/>
          <w:highlight w:val="none"/>
          <w:lang w:val="en-US" w:eastAsia="zh-CN"/>
        </w:rPr>
        <w:t>部门</w:t>
      </w:r>
      <w:r>
        <w:rPr>
          <w:rFonts w:hint="eastAsia" w:ascii="方正小标宋_GBK" w:hAnsi="方正小标宋_GBK" w:eastAsia="方正小标宋_GBK" w:cs="方正小标宋_GBK"/>
          <w:color w:val="auto"/>
          <w:sz w:val="84"/>
          <w:szCs w:val="84"/>
          <w:highlight w:val="none"/>
        </w:rPr>
        <w:t>决算</w:t>
      </w:r>
    </w:p>
    <w:p>
      <w:pPr>
        <w:pStyle w:val="15"/>
        <w:jc w:val="center"/>
        <w:rPr>
          <w:rFonts w:hint="eastAsia" w:ascii="方正小标宋_GBK" w:hAnsi="方正小标宋_GBK" w:eastAsia="方正小标宋_GBK" w:cs="方正小标宋_GBK"/>
          <w:color w:val="auto"/>
          <w:sz w:val="56"/>
          <w:szCs w:val="56"/>
          <w:highlight w:val="none"/>
        </w:rPr>
      </w:pPr>
    </w:p>
    <w:p>
      <w:pPr>
        <w:pStyle w:val="15"/>
        <w:jc w:val="center"/>
        <w:rPr>
          <w:color w:val="auto"/>
          <w:sz w:val="56"/>
          <w:szCs w:val="56"/>
          <w:highlight w:val="none"/>
        </w:rPr>
      </w:pPr>
    </w:p>
    <w:p>
      <w:pPr>
        <w:pStyle w:val="15"/>
        <w:jc w:val="center"/>
        <w:rPr>
          <w:color w:val="auto"/>
          <w:sz w:val="56"/>
          <w:szCs w:val="56"/>
          <w:highlight w:val="none"/>
        </w:rPr>
      </w:pPr>
    </w:p>
    <w:p>
      <w:pPr>
        <w:pStyle w:val="15"/>
        <w:jc w:val="center"/>
        <w:rPr>
          <w:color w:val="auto"/>
          <w:sz w:val="56"/>
          <w:szCs w:val="56"/>
          <w:highlight w:val="none"/>
        </w:rPr>
      </w:pPr>
    </w:p>
    <w:p>
      <w:pPr>
        <w:pStyle w:val="15"/>
        <w:jc w:val="center"/>
        <w:rPr>
          <w:color w:val="auto"/>
          <w:sz w:val="32"/>
          <w:szCs w:val="32"/>
          <w:highlight w:val="none"/>
        </w:rPr>
      </w:pPr>
    </w:p>
    <w:p>
      <w:pPr>
        <w:pStyle w:val="15"/>
        <w:jc w:val="center"/>
        <w:rPr>
          <w:color w:val="auto"/>
          <w:sz w:val="32"/>
          <w:szCs w:val="32"/>
          <w:highlight w:val="none"/>
        </w:rPr>
      </w:pPr>
    </w:p>
    <w:p>
      <w:pPr>
        <w:pStyle w:val="15"/>
        <w:jc w:val="center"/>
        <w:rPr>
          <w:color w:val="auto"/>
          <w:sz w:val="32"/>
          <w:szCs w:val="32"/>
          <w:highlight w:val="none"/>
        </w:rPr>
      </w:pPr>
    </w:p>
    <w:p>
      <w:pPr>
        <w:pStyle w:val="15"/>
        <w:spacing w:line="500" w:lineRule="exact"/>
        <w:jc w:val="center"/>
        <w:rPr>
          <w:b/>
          <w:color w:val="auto"/>
          <w:sz w:val="36"/>
          <w:szCs w:val="28"/>
          <w:highlight w:val="none"/>
        </w:rPr>
      </w:pPr>
      <w:r>
        <w:rPr>
          <w:rFonts w:hint="eastAsia"/>
          <w:b/>
          <w:color w:val="auto"/>
          <w:sz w:val="36"/>
          <w:szCs w:val="28"/>
          <w:highlight w:val="none"/>
        </w:rPr>
        <w:t>目录</w:t>
      </w:r>
    </w:p>
    <w:p>
      <w:pPr>
        <w:pStyle w:val="15"/>
        <w:spacing w:line="50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第一部分</w:t>
      </w:r>
      <w:r>
        <w:rPr>
          <w:rFonts w:hint="eastAsia" w:ascii="黑体" w:hAnsi="黑体" w:eastAsia="黑体" w:cs="黑体"/>
          <w:b w:val="0"/>
          <w:bCs/>
          <w:color w:val="auto"/>
          <w:sz w:val="28"/>
          <w:szCs w:val="28"/>
          <w:highlight w:val="none"/>
          <w:lang w:val="en-US" w:eastAsia="zh-CN"/>
        </w:rPr>
        <w:t xml:space="preserve"> </w:t>
      </w:r>
      <w:r>
        <w:rPr>
          <w:rFonts w:hint="eastAsia" w:hAnsi="黑体" w:cs="黑体"/>
          <w:b w:val="0"/>
          <w:bCs/>
          <w:color w:val="auto"/>
          <w:sz w:val="28"/>
          <w:szCs w:val="28"/>
          <w:highlight w:val="none"/>
          <w:lang w:eastAsia="zh-CN"/>
        </w:rPr>
        <w:t>湖南省</w:t>
      </w:r>
      <w:r>
        <w:rPr>
          <w:rFonts w:hint="eastAsia" w:hAnsi="黑体" w:cs="黑体"/>
          <w:b w:val="0"/>
          <w:bCs/>
          <w:color w:val="auto"/>
          <w:sz w:val="28"/>
          <w:szCs w:val="28"/>
          <w:highlight w:val="none"/>
          <w:lang w:val="en-US" w:eastAsia="zh-CN"/>
        </w:rPr>
        <w:t>少年儿童图书馆</w:t>
      </w:r>
      <w:r>
        <w:rPr>
          <w:rFonts w:hint="eastAsia" w:ascii="黑体" w:hAnsi="黑体" w:eastAsia="黑体" w:cs="黑体"/>
          <w:b w:val="0"/>
          <w:bCs/>
          <w:color w:val="auto"/>
          <w:sz w:val="28"/>
          <w:szCs w:val="28"/>
          <w:highlight w:val="none"/>
        </w:rPr>
        <w:t>概况</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一、部门职责</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二、机构设置</w:t>
      </w:r>
    </w:p>
    <w:p>
      <w:pPr>
        <w:pStyle w:val="15"/>
        <w:spacing w:line="50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第二部分</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部门决算表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一、收入支出决算总表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二、收入决算表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三、支出决算表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四、财政拨款收入支出决算总表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五、一般公共预算财政拨款支出决算表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六、一般公共预算财政拨款基本支出决算明细表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七、政府性基金预算财政拨款收入支出决算表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八、国有资本经营预算财政拨款支出决算表</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九、财政拨款“三公”经费支出决算表</w:t>
      </w:r>
    </w:p>
    <w:p>
      <w:pPr>
        <w:pStyle w:val="15"/>
        <w:spacing w:line="50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第三部分</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部门决算情况说明</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一、收入支出决算总体情况说明</w:t>
      </w:r>
    </w:p>
    <w:p>
      <w:pPr>
        <w:spacing w:line="500" w:lineRule="exact"/>
        <w:ind w:firstLine="700" w:firstLineChars="2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十一、关于政府采购支出说明</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十二、关于国有资产占用情况说明</w:t>
      </w:r>
    </w:p>
    <w:p>
      <w:pPr>
        <w:pStyle w:val="15"/>
        <w:spacing w:line="500" w:lineRule="exact"/>
        <w:ind w:firstLine="700" w:firstLineChars="2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十三、关于预算绩效情况的说明</w:t>
      </w:r>
    </w:p>
    <w:p>
      <w:pPr>
        <w:pStyle w:val="15"/>
        <w:spacing w:line="500" w:lineRule="exact"/>
        <w:rPr>
          <w:rFonts w:hint="eastAsia" w:ascii="黑体" w:hAnsi="黑体" w:eastAsia="黑体" w:cs="黑体"/>
          <w:b w:val="0"/>
          <w:bCs/>
          <w:color w:val="auto"/>
          <w:sz w:val="28"/>
          <w:szCs w:val="28"/>
          <w:highlight w:val="none"/>
        </w:rPr>
        <w:sectPr>
          <w:pgSz w:w="11906" w:h="16838"/>
          <w:pgMar w:top="720" w:right="720" w:bottom="720" w:left="720" w:header="851" w:footer="992" w:gutter="0"/>
          <w:cols w:space="425" w:num="1"/>
          <w:docGrid w:type="lines" w:linePitch="312" w:charSpace="0"/>
        </w:sectPr>
      </w:pPr>
      <w:r>
        <w:rPr>
          <w:rFonts w:hint="eastAsia" w:ascii="黑体" w:hAnsi="黑体" w:eastAsia="黑体" w:cs="黑体"/>
          <w:b w:val="0"/>
          <w:bCs/>
          <w:color w:val="auto"/>
          <w:sz w:val="28"/>
          <w:szCs w:val="28"/>
          <w:highlight w:val="none"/>
        </w:rPr>
        <w:t>第四部分</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名词解释</w:t>
      </w:r>
    </w:p>
    <w:p>
      <w:pPr>
        <w:jc w:val="center"/>
        <w:rPr>
          <w:color w:val="auto"/>
          <w:sz w:val="72"/>
          <w:szCs w:val="72"/>
          <w:highlight w:val="none"/>
        </w:rPr>
      </w:pPr>
    </w:p>
    <w:p>
      <w:pPr>
        <w:jc w:val="center"/>
        <w:rPr>
          <w:color w:val="auto"/>
          <w:sz w:val="72"/>
          <w:szCs w:val="72"/>
          <w:highlight w:val="none"/>
        </w:rPr>
      </w:pPr>
    </w:p>
    <w:p>
      <w:pPr>
        <w:rPr>
          <w:rFonts w:hint="eastAsia" w:ascii="方正小标宋_GBK" w:hAnsi="方正小标宋_GBK" w:eastAsia="方正小标宋_GBK" w:cs="方正小标宋_GBK"/>
          <w:color w:val="auto"/>
          <w:sz w:val="72"/>
          <w:szCs w:val="72"/>
          <w:highlight w:val="none"/>
        </w:rPr>
      </w:pPr>
    </w:p>
    <w:p>
      <w:pPr>
        <w:pStyle w:val="15"/>
        <w:jc w:val="center"/>
        <w:rPr>
          <w:rFonts w:hint="eastAsia" w:ascii="方正小标宋_GBK" w:hAnsi="方正小标宋_GBK" w:eastAsia="方正小标宋_GBK" w:cs="方正小标宋_GBK"/>
          <w:color w:val="auto"/>
          <w:sz w:val="84"/>
          <w:szCs w:val="84"/>
          <w:highlight w:val="none"/>
        </w:rPr>
      </w:pPr>
      <w:r>
        <w:rPr>
          <w:rFonts w:hint="eastAsia" w:ascii="方正小标宋_GBK" w:hAnsi="方正小标宋_GBK" w:eastAsia="方正小标宋_GBK" w:cs="方正小标宋_GBK"/>
          <w:color w:val="auto"/>
          <w:sz w:val="84"/>
          <w:szCs w:val="84"/>
          <w:highlight w:val="none"/>
        </w:rPr>
        <w:t xml:space="preserve">第一部分 </w:t>
      </w:r>
    </w:p>
    <w:p>
      <w:pPr>
        <w:pStyle w:val="15"/>
        <w:jc w:val="center"/>
        <w:rPr>
          <w:rFonts w:hint="eastAsia" w:ascii="方正小标宋_GBK" w:hAnsi="方正小标宋_GBK" w:eastAsia="方正小标宋_GBK" w:cs="方正小标宋_GBK"/>
          <w:color w:val="auto"/>
          <w:sz w:val="84"/>
          <w:szCs w:val="84"/>
          <w:highlight w:val="none"/>
        </w:rPr>
      </w:pPr>
    </w:p>
    <w:p>
      <w:pPr>
        <w:pStyle w:val="15"/>
        <w:jc w:val="center"/>
        <w:rPr>
          <w:rFonts w:hint="default" w:ascii="方正小标宋_GBK" w:hAnsi="方正小标宋_GBK" w:eastAsia="方正小标宋_GBK" w:cs="方正小标宋_GBK"/>
          <w:color w:val="auto"/>
          <w:sz w:val="84"/>
          <w:szCs w:val="84"/>
          <w:highlight w:val="none"/>
          <w:lang w:val="en-US" w:eastAsia="zh-CN"/>
        </w:rPr>
      </w:pPr>
      <w:r>
        <w:rPr>
          <w:rFonts w:hint="eastAsia" w:ascii="方正小标宋_GBK" w:hAnsi="方正小标宋_GBK" w:eastAsia="方正小标宋_GBK" w:cs="方正小标宋_GBK"/>
          <w:color w:val="auto"/>
          <w:sz w:val="84"/>
          <w:szCs w:val="84"/>
          <w:highlight w:val="none"/>
          <w:lang w:eastAsia="zh-CN"/>
        </w:rPr>
        <w:t>湖南省</w:t>
      </w:r>
      <w:r>
        <w:rPr>
          <w:rFonts w:hint="eastAsia" w:ascii="方正小标宋_GBK" w:hAnsi="方正小标宋_GBK" w:eastAsia="方正小标宋_GBK" w:cs="方正小标宋_GBK"/>
          <w:color w:val="auto"/>
          <w:sz w:val="84"/>
          <w:szCs w:val="84"/>
          <w:highlight w:val="none"/>
          <w:lang w:val="en-US" w:eastAsia="zh-CN"/>
        </w:rPr>
        <w:t>少年儿童图书馆</w:t>
      </w:r>
    </w:p>
    <w:p>
      <w:pPr>
        <w:pStyle w:val="15"/>
        <w:jc w:val="center"/>
        <w:rPr>
          <w:rFonts w:hint="eastAsia" w:ascii="方正小标宋_GBK" w:hAnsi="方正小标宋_GBK" w:eastAsia="方正小标宋_GBK" w:cs="方正小标宋_GBK"/>
          <w:color w:val="auto"/>
          <w:sz w:val="84"/>
          <w:szCs w:val="84"/>
          <w:highlight w:val="none"/>
        </w:rPr>
      </w:pPr>
      <w:r>
        <w:rPr>
          <w:rFonts w:hint="eastAsia" w:ascii="方正小标宋_GBK" w:hAnsi="方正小标宋_GBK" w:eastAsia="方正小标宋_GBK" w:cs="方正小标宋_GBK"/>
          <w:color w:val="auto"/>
          <w:sz w:val="84"/>
          <w:szCs w:val="84"/>
          <w:highlight w:val="none"/>
          <w:lang w:eastAsia="zh-CN"/>
        </w:rPr>
        <w:t>部门</w:t>
      </w:r>
      <w:r>
        <w:rPr>
          <w:rFonts w:hint="eastAsia" w:ascii="方正小标宋_GBK" w:hAnsi="方正小标宋_GBK" w:eastAsia="方正小标宋_GBK" w:cs="方正小标宋_GBK"/>
          <w:color w:val="auto"/>
          <w:sz w:val="84"/>
          <w:szCs w:val="84"/>
          <w:highlight w:val="none"/>
        </w:rPr>
        <w:t>概况</w:t>
      </w:r>
    </w:p>
    <w:p>
      <w:pPr>
        <w:jc w:val="center"/>
        <w:rPr>
          <w:rFonts w:hint="eastAsia" w:ascii="方正小标宋_GBK" w:hAnsi="方正小标宋_GBK" w:eastAsia="方正小标宋_GBK" w:cs="方正小标宋_GBK"/>
          <w:color w:val="auto"/>
          <w:sz w:val="72"/>
          <w:szCs w:val="72"/>
          <w:highlight w:val="none"/>
        </w:rPr>
      </w:pPr>
    </w:p>
    <w:p>
      <w:pPr>
        <w:pStyle w:val="16"/>
        <w:numPr>
          <w:ilvl w:val="0"/>
          <w:numId w:val="1"/>
        </w:numPr>
        <w:ind w:firstLineChars="0"/>
        <w:jc w:val="left"/>
        <w:rPr>
          <w:rFonts w:hint="eastAsia" w:ascii="黑体" w:hAnsi="黑体" w:eastAsia="黑体" w:cs="黑体"/>
          <w:b w:val="0"/>
          <w:bCs w:val="0"/>
          <w:color w:val="auto"/>
          <w:sz w:val="32"/>
          <w:szCs w:val="32"/>
          <w:highlight w:val="none"/>
        </w:rPr>
        <w:sectPr>
          <w:pgSz w:w="11906" w:h="16838"/>
          <w:pgMar w:top="720" w:right="720" w:bottom="720" w:left="720" w:header="851" w:footer="992" w:gutter="0"/>
          <w:cols w:space="425" w:num="1"/>
          <w:docGrid w:type="lines" w:linePitch="312" w:charSpace="0"/>
        </w:sectPr>
      </w:pPr>
    </w:p>
    <w:p>
      <w:pPr>
        <w:pStyle w:val="16"/>
        <w:numPr>
          <w:ilvl w:val="0"/>
          <w:numId w:val="1"/>
        </w:numPr>
        <w:ind w:firstLineChars="0"/>
        <w:jc w:val="lef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部门职责</w:t>
      </w:r>
    </w:p>
    <w:p>
      <w:pPr>
        <w:widowControl/>
        <w:spacing w:line="600" w:lineRule="exact"/>
        <w:ind w:firstLine="627" w:firstLineChars="196"/>
        <w:jc w:val="left"/>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保存借阅图书资料、促进社会经济文化发展；图书、文献、报刊、音像资料采编与储藏；图书资料借阅；图书资料网络系统设计、管理、文献数字化处理；图书馆学研究；图书、期刊资料编辑出版；知识培训及社会教育及相关社会服务。</w:t>
      </w:r>
    </w:p>
    <w:p>
      <w:pPr>
        <w:widowControl/>
        <w:spacing w:line="600" w:lineRule="exact"/>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二、机构设置及决算单位构成</w:t>
      </w:r>
    </w:p>
    <w:p>
      <w:pPr>
        <w:jc w:val="left"/>
        <w:rPr>
          <w:rFonts w:hint="eastAsia" w:ascii="Times New Roman" w:hAnsi="Times New Roman" w:eastAsia="仿宋_GB2312" w:cs="仿宋_GB2312"/>
          <w:bCs/>
          <w:color w:val="auto"/>
          <w:kern w:val="0"/>
          <w:sz w:val="32"/>
          <w:szCs w:val="32"/>
          <w:highlight w:val="none"/>
        </w:rPr>
      </w:pPr>
      <w:r>
        <w:rPr>
          <w:rFonts w:hint="eastAsia" w:ascii="Times New Roman" w:hAnsi="Times New Roman" w:eastAsia="仿宋_GB2312" w:cs="仿宋_GB2312"/>
          <w:bCs/>
          <w:color w:val="auto"/>
          <w:kern w:val="0"/>
          <w:sz w:val="32"/>
          <w:szCs w:val="32"/>
          <w:highlight w:val="none"/>
        </w:rPr>
        <w:t>（一）内设机构设置。湖南省少年儿童图书馆为湖南省文化和旅游厅下属二级独立核算预算单位。现有内设机构十个，分别为：借阅服务部、数字服务部、采编服务部、阅研阅创部、业务管理部、宣传推广部、党群工作部、人事部、财务部、行政后勤部。</w:t>
      </w:r>
    </w:p>
    <w:p>
      <w:pPr>
        <w:jc w:val="left"/>
        <w:rPr>
          <w:rFonts w:hint="eastAsia" w:ascii="Times New Roman" w:hAnsi="Times New Roman" w:eastAsia="仿宋_GB2312" w:cs="仿宋_GB2312"/>
          <w:bCs/>
          <w:color w:val="auto"/>
          <w:kern w:val="0"/>
          <w:sz w:val="32"/>
          <w:szCs w:val="32"/>
          <w:highlight w:val="none"/>
        </w:rPr>
      </w:pPr>
      <w:r>
        <w:rPr>
          <w:rFonts w:hint="eastAsia" w:ascii="Times New Roman" w:hAnsi="Times New Roman" w:eastAsia="仿宋_GB2312" w:cs="仿宋_GB2312"/>
          <w:bCs/>
          <w:color w:val="auto"/>
          <w:kern w:val="0"/>
          <w:sz w:val="32"/>
          <w:szCs w:val="32"/>
          <w:highlight w:val="none"/>
        </w:rPr>
        <w:t>（二）决算单位构成。湖南省少年儿童图书馆202</w:t>
      </w:r>
      <w:r>
        <w:rPr>
          <w:rFonts w:hint="eastAsia" w:ascii="Times New Roman" w:hAnsi="Times New Roman" w:eastAsia="仿宋_GB2312" w:cs="仿宋_GB2312"/>
          <w:bCs/>
          <w:color w:val="auto"/>
          <w:kern w:val="0"/>
          <w:sz w:val="32"/>
          <w:szCs w:val="32"/>
          <w:highlight w:val="none"/>
          <w:lang w:val="en-US" w:eastAsia="zh-CN"/>
        </w:rPr>
        <w:t>2</w:t>
      </w:r>
      <w:r>
        <w:rPr>
          <w:rFonts w:hint="eastAsia" w:ascii="Times New Roman" w:hAnsi="Times New Roman" w:eastAsia="仿宋_GB2312" w:cs="仿宋_GB2312"/>
          <w:bCs/>
          <w:color w:val="auto"/>
          <w:kern w:val="0"/>
          <w:sz w:val="32"/>
          <w:szCs w:val="32"/>
          <w:highlight w:val="none"/>
        </w:rPr>
        <w:t>年部门决算汇总公开单位构成包括：湖南省少年儿童图书馆本级。</w:t>
      </w:r>
    </w:p>
    <w:p>
      <w:pPr>
        <w:pStyle w:val="2"/>
        <w:rPr>
          <w:rFonts w:hint="eastAsia" w:ascii="Times New Roman" w:hAnsi="Times New Roman" w:eastAsia="仿宋_GB2312" w:cs="仿宋_GB2312"/>
          <w:bCs/>
          <w:color w:val="auto"/>
          <w:kern w:val="0"/>
          <w:sz w:val="32"/>
          <w:szCs w:val="32"/>
          <w:highlight w:val="none"/>
        </w:rPr>
      </w:pPr>
    </w:p>
    <w:p>
      <w:pPr>
        <w:pStyle w:val="2"/>
        <w:rPr>
          <w:rFonts w:hint="eastAsia" w:ascii="Times New Roman" w:hAnsi="Times New Roman" w:eastAsia="仿宋_GB2312" w:cs="仿宋_GB2312"/>
          <w:bCs/>
          <w:color w:val="auto"/>
          <w:kern w:val="0"/>
          <w:sz w:val="32"/>
          <w:szCs w:val="32"/>
          <w:highlight w:val="none"/>
        </w:rPr>
      </w:pPr>
    </w:p>
    <w:p>
      <w:pPr>
        <w:pStyle w:val="2"/>
        <w:rPr>
          <w:rFonts w:hint="eastAsia" w:ascii="Times New Roman" w:hAnsi="Times New Roman" w:eastAsia="仿宋_GB2312" w:cs="仿宋_GB2312"/>
          <w:bCs/>
          <w:color w:val="auto"/>
          <w:kern w:val="0"/>
          <w:sz w:val="32"/>
          <w:szCs w:val="32"/>
          <w:highlight w:val="none"/>
        </w:rPr>
      </w:pPr>
    </w:p>
    <w:p>
      <w:pPr>
        <w:pStyle w:val="2"/>
        <w:rPr>
          <w:rFonts w:hint="eastAsia" w:ascii="Times New Roman" w:hAnsi="Times New Roman" w:eastAsia="仿宋_GB2312" w:cs="仿宋_GB2312"/>
          <w:bCs/>
          <w:color w:val="auto"/>
          <w:kern w:val="0"/>
          <w:sz w:val="32"/>
          <w:szCs w:val="32"/>
          <w:highlight w:val="none"/>
        </w:rPr>
      </w:pPr>
    </w:p>
    <w:p>
      <w:pPr>
        <w:pStyle w:val="2"/>
        <w:rPr>
          <w:rFonts w:hint="eastAsia" w:ascii="Times New Roman" w:hAnsi="Times New Roman" w:eastAsia="仿宋_GB2312" w:cs="仿宋_GB2312"/>
          <w:bCs/>
          <w:color w:val="auto"/>
          <w:kern w:val="0"/>
          <w:sz w:val="32"/>
          <w:szCs w:val="32"/>
          <w:highlight w:val="none"/>
        </w:rPr>
      </w:pPr>
    </w:p>
    <w:p>
      <w:pPr>
        <w:pStyle w:val="2"/>
        <w:rPr>
          <w:rFonts w:hint="eastAsia" w:ascii="Times New Roman" w:hAnsi="Times New Roman" w:eastAsia="仿宋_GB2312" w:cs="仿宋_GB2312"/>
          <w:bCs/>
          <w:color w:val="auto"/>
          <w:kern w:val="0"/>
          <w:sz w:val="32"/>
          <w:szCs w:val="32"/>
          <w:highlight w:val="none"/>
        </w:rPr>
      </w:pPr>
    </w:p>
    <w:p>
      <w:pPr>
        <w:jc w:val="center"/>
        <w:rPr>
          <w:rFonts w:ascii="黑体" w:hAnsi="黑体" w:eastAsia="黑体"/>
          <w:color w:val="auto"/>
          <w:sz w:val="28"/>
          <w:szCs w:val="28"/>
          <w:highlight w:val="none"/>
        </w:rPr>
      </w:pPr>
    </w:p>
    <w:p>
      <w:pPr>
        <w:jc w:val="center"/>
        <w:rPr>
          <w:rFonts w:ascii="黑体" w:hAnsi="黑体" w:eastAsia="黑体"/>
          <w:color w:val="auto"/>
          <w:sz w:val="28"/>
          <w:szCs w:val="28"/>
          <w:highlight w:val="none"/>
        </w:rPr>
      </w:pPr>
    </w:p>
    <w:p>
      <w:pPr>
        <w:jc w:val="center"/>
        <w:rPr>
          <w:rFonts w:ascii="黑体" w:hAnsi="黑体" w:eastAsia="黑体"/>
          <w:color w:val="auto"/>
          <w:sz w:val="28"/>
          <w:szCs w:val="28"/>
          <w:highlight w:val="none"/>
        </w:rPr>
      </w:pPr>
    </w:p>
    <w:p>
      <w:pPr>
        <w:jc w:val="center"/>
        <w:rPr>
          <w:rFonts w:ascii="黑体" w:hAnsi="黑体" w:eastAsia="黑体"/>
          <w:color w:val="auto"/>
          <w:sz w:val="28"/>
          <w:szCs w:val="28"/>
          <w:highlight w:val="none"/>
        </w:rPr>
      </w:pPr>
    </w:p>
    <w:p>
      <w:pPr>
        <w:jc w:val="center"/>
        <w:rPr>
          <w:color w:val="auto"/>
          <w:sz w:val="72"/>
          <w:szCs w:val="72"/>
          <w:highlight w:val="none"/>
        </w:rPr>
      </w:pPr>
    </w:p>
    <w:p>
      <w:pPr>
        <w:jc w:val="center"/>
        <w:rPr>
          <w:color w:val="auto"/>
          <w:sz w:val="72"/>
          <w:szCs w:val="72"/>
          <w:highlight w:val="none"/>
        </w:rPr>
      </w:pPr>
    </w:p>
    <w:p>
      <w:pPr>
        <w:pStyle w:val="15"/>
        <w:jc w:val="center"/>
        <w:rPr>
          <w:rFonts w:hint="eastAsia" w:ascii="方正小标宋_GBK" w:hAnsi="方正小标宋_GBK" w:eastAsia="方正小标宋_GBK" w:cs="方正小标宋_GBK"/>
          <w:color w:val="auto"/>
          <w:sz w:val="84"/>
          <w:szCs w:val="84"/>
          <w:highlight w:val="none"/>
        </w:rPr>
      </w:pPr>
    </w:p>
    <w:p>
      <w:pPr>
        <w:pStyle w:val="15"/>
        <w:jc w:val="center"/>
        <w:rPr>
          <w:rFonts w:hint="eastAsia" w:ascii="方正小标宋_GBK" w:hAnsi="方正小标宋_GBK" w:eastAsia="方正小标宋_GBK" w:cs="方正小标宋_GBK"/>
          <w:color w:val="auto"/>
          <w:sz w:val="84"/>
          <w:szCs w:val="84"/>
          <w:highlight w:val="none"/>
        </w:rPr>
      </w:pPr>
    </w:p>
    <w:p>
      <w:pPr>
        <w:pStyle w:val="15"/>
        <w:jc w:val="center"/>
        <w:rPr>
          <w:rFonts w:hint="eastAsia" w:ascii="方正小标宋_GBK" w:hAnsi="方正小标宋_GBK" w:eastAsia="方正小标宋_GBK" w:cs="方正小标宋_GBK"/>
          <w:color w:val="auto"/>
          <w:sz w:val="84"/>
          <w:szCs w:val="84"/>
          <w:highlight w:val="none"/>
        </w:rPr>
      </w:pPr>
      <w:r>
        <w:rPr>
          <w:rFonts w:hint="eastAsia" w:ascii="方正小标宋_GBK" w:hAnsi="方正小标宋_GBK" w:eastAsia="方正小标宋_GBK" w:cs="方正小标宋_GBK"/>
          <w:color w:val="auto"/>
          <w:sz w:val="84"/>
          <w:szCs w:val="84"/>
          <w:highlight w:val="none"/>
        </w:rPr>
        <w:t>第二部分</w:t>
      </w:r>
    </w:p>
    <w:p>
      <w:pPr>
        <w:pStyle w:val="15"/>
        <w:jc w:val="center"/>
        <w:rPr>
          <w:rFonts w:hint="eastAsia" w:ascii="方正小标宋_GBK" w:hAnsi="方正小标宋_GBK" w:eastAsia="方正小标宋_GBK" w:cs="方正小标宋_GBK"/>
          <w:color w:val="auto"/>
          <w:sz w:val="84"/>
          <w:szCs w:val="84"/>
          <w:highlight w:val="none"/>
        </w:rPr>
      </w:pPr>
    </w:p>
    <w:p>
      <w:pPr>
        <w:pStyle w:val="15"/>
        <w:jc w:val="center"/>
        <w:rPr>
          <w:rFonts w:hint="eastAsia" w:ascii="方正小标宋_GBK" w:hAnsi="方正小标宋_GBK" w:eastAsia="方正小标宋_GBK" w:cs="方正小标宋_GBK"/>
          <w:color w:val="auto"/>
          <w:sz w:val="84"/>
          <w:szCs w:val="84"/>
          <w:highlight w:val="none"/>
        </w:rPr>
      </w:pPr>
      <w:r>
        <w:rPr>
          <w:rFonts w:hint="eastAsia" w:ascii="方正小标宋_GBK" w:hAnsi="方正小标宋_GBK" w:eastAsia="方正小标宋_GBK" w:cs="方正小标宋_GBK"/>
          <w:color w:val="auto"/>
          <w:sz w:val="84"/>
          <w:szCs w:val="84"/>
          <w:highlight w:val="none"/>
        </w:rPr>
        <w:t>部门决算表</w:t>
      </w:r>
    </w:p>
    <w:p>
      <w:pPr>
        <w:jc w:val="center"/>
        <w:rPr>
          <w:color w:val="auto"/>
          <w:sz w:val="72"/>
          <w:szCs w:val="72"/>
          <w:highlight w:val="none"/>
        </w:rPr>
      </w:pPr>
    </w:p>
    <w:p>
      <w:pPr>
        <w:jc w:val="center"/>
        <w:rPr>
          <w:color w:val="auto"/>
          <w:sz w:val="72"/>
          <w:szCs w:val="72"/>
          <w:highlight w:val="none"/>
        </w:rPr>
      </w:pPr>
    </w:p>
    <w:p>
      <w:pPr>
        <w:jc w:val="center"/>
        <w:rPr>
          <w:color w:val="auto"/>
          <w:sz w:val="72"/>
          <w:szCs w:val="72"/>
          <w:highlight w:val="none"/>
        </w:rPr>
      </w:pPr>
    </w:p>
    <w:p>
      <w:pPr>
        <w:jc w:val="center"/>
        <w:rPr>
          <w:color w:val="auto"/>
          <w:sz w:val="72"/>
          <w:szCs w:val="72"/>
          <w:highlight w:val="none"/>
        </w:rPr>
      </w:pPr>
    </w:p>
    <w:p>
      <w:pPr>
        <w:jc w:val="center"/>
        <w:rPr>
          <w:color w:val="auto"/>
          <w:sz w:val="72"/>
          <w:szCs w:val="72"/>
          <w:highlight w:val="none"/>
        </w:rPr>
      </w:pPr>
    </w:p>
    <w:p>
      <w:pPr>
        <w:jc w:val="center"/>
        <w:rPr>
          <w:color w:val="auto"/>
          <w:sz w:val="72"/>
          <w:szCs w:val="72"/>
          <w:highlight w:val="none"/>
        </w:rPr>
      </w:pPr>
    </w:p>
    <w:p>
      <w:pPr>
        <w:jc w:val="left"/>
        <w:rPr>
          <w:color w:val="auto"/>
          <w:sz w:val="32"/>
          <w:szCs w:val="32"/>
          <w:highlight w:val="none"/>
        </w:rPr>
      </w:pPr>
    </w:p>
    <w:p>
      <w:pPr>
        <w:jc w:val="left"/>
        <w:rPr>
          <w:rFonts w:ascii="宋体" w:hAnsi="宋体"/>
          <w:color w:val="auto"/>
          <w:sz w:val="32"/>
          <w:szCs w:val="32"/>
          <w:highlight w:val="none"/>
        </w:rPr>
        <w:sectPr>
          <w:pgSz w:w="11906" w:h="16838"/>
          <w:pgMar w:top="720" w:right="720" w:bottom="720" w:left="720" w:header="851" w:footer="992" w:gutter="0"/>
          <w:cols w:space="425" w:num="1"/>
          <w:docGrid w:type="lines" w:linePitch="312" w:charSpace="0"/>
        </w:sectPr>
      </w:pPr>
    </w:p>
    <w:tbl>
      <w:tblPr>
        <w:tblStyle w:val="10"/>
        <w:tblW w:w="15428" w:type="dxa"/>
        <w:tblInd w:w="0" w:type="dxa"/>
        <w:tblLayout w:type="fixed"/>
        <w:tblCellMar>
          <w:top w:w="0" w:type="dxa"/>
          <w:left w:w="0" w:type="dxa"/>
          <w:bottom w:w="0" w:type="dxa"/>
          <w:right w:w="0" w:type="dxa"/>
        </w:tblCellMar>
      </w:tblPr>
      <w:tblGrid>
        <w:gridCol w:w="15428"/>
      </w:tblGrid>
      <w:tr>
        <w:tblPrEx>
          <w:tblCellMar>
            <w:top w:w="0" w:type="dxa"/>
            <w:left w:w="0" w:type="dxa"/>
            <w:bottom w:w="0" w:type="dxa"/>
            <w:right w:w="0" w:type="dxa"/>
          </w:tblCellMar>
        </w:tblPrEx>
        <w:trPr>
          <w:trHeight w:val="435" w:hRule="atLeast"/>
        </w:trPr>
        <w:tc>
          <w:tcPr>
            <w:tcW w:w="15428" w:type="dxa"/>
            <w:tcBorders>
              <w:top w:val="nil"/>
              <w:left w:val="nil"/>
              <w:bottom w:val="nil"/>
              <w:right w:val="nil"/>
            </w:tcBorders>
            <w:shd w:val="clear" w:color="auto" w:fill="auto"/>
            <w:noWrap/>
            <w:tcMar>
              <w:top w:w="15" w:type="dxa"/>
              <w:left w:w="15" w:type="dxa"/>
              <w:bottom w:w="0" w:type="dxa"/>
              <w:right w:w="15" w:type="dxa"/>
            </w:tcMar>
            <w:vAlign w:val="center"/>
          </w:tcPr>
          <w:tbl>
            <w:tblPr>
              <w:tblStyle w:val="10"/>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lang w:val="en-US" w:eastAsia="zh-CN"/>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湖南省少年儿童图书馆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2556.59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1888.48</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七、社会保障和就业支出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78.00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2.04</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2"/>
                    </w:rPr>
                    <w:t>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883" w:firstLineChars="400"/>
                    <w:jc w:val="righ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kern w:val="0"/>
                      <w:sz w:val="22"/>
                      <w:lang w:val="en-US" w:eastAsia="zh-CN"/>
                    </w:rPr>
                    <w:t>119.00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lang w:val="en-US" w:eastAsia="zh-CN"/>
                    </w:rPr>
                    <w:t>2558.63</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2087.98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126.39</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222.78</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819.82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lang w:val="en-US" w:eastAsia="zh-CN"/>
                    </w:rPr>
                    <w:t>2907.80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2907.80</w:t>
                  </w: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华文中宋" w:hAnsi="华文中宋" w:eastAsia="华文中宋" w:cs="宋体"/>
                <w:color w:val="auto"/>
                <w:sz w:val="32"/>
                <w:szCs w:val="32"/>
                <w:highlight w:val="none"/>
              </w:rPr>
            </w:pPr>
          </w:p>
        </w:tc>
      </w:tr>
    </w:tbl>
    <w:p>
      <w:pPr>
        <w:widowControl/>
        <w:jc w:val="left"/>
        <w:rPr>
          <w:rFonts w:ascii="Times New Roman" w:hAnsi="Times New Roman" w:eastAsia="黑体" w:cs="Times New Roman"/>
          <w:bCs/>
          <w:color w:val="auto"/>
          <w:kern w:val="0"/>
          <w:sz w:val="32"/>
          <w:szCs w:val="32"/>
          <w:highlight w:val="none"/>
        </w:rPr>
      </w:pPr>
    </w:p>
    <w:p>
      <w:pPr>
        <w:widowControl/>
        <w:jc w:val="left"/>
        <w:rPr>
          <w:rFonts w:ascii="Times New Roman" w:hAnsi="Times New Roman" w:eastAsia="黑体" w:cs="Times New Roman"/>
          <w:bCs/>
          <w:color w:val="auto"/>
          <w:kern w:val="0"/>
          <w:sz w:val="32"/>
          <w:szCs w:val="32"/>
          <w:highlight w:val="none"/>
        </w:rPr>
      </w:pPr>
      <w:r>
        <w:rPr>
          <w:rFonts w:ascii="Times New Roman" w:hAnsi="Times New Roman" w:eastAsia="黑体" w:cs="Times New Roman"/>
          <w:bCs/>
          <w:color w:val="auto"/>
          <w:kern w:val="0"/>
          <w:sz w:val="32"/>
          <w:szCs w:val="32"/>
          <w:highlight w:val="none"/>
        </w:rPr>
        <w:t xml:space="preserve"> </w:t>
      </w:r>
      <w:r>
        <w:rPr>
          <w:color w:val="auto"/>
          <w:highlight w:val="none"/>
        </w:rPr>
        <w:br w:type="page"/>
      </w:r>
    </w:p>
    <w:p>
      <w:pPr>
        <w:widowControl/>
        <w:rPr>
          <w:rFonts w:ascii="Times New Roman" w:hAnsi="Times New Roman" w:eastAsia="方正小标宋_GBK" w:cs="Times New Roman"/>
          <w:color w:val="auto"/>
          <w:kern w:val="0"/>
          <w:sz w:val="36"/>
          <w:szCs w:val="36"/>
          <w:highlight w:val="none"/>
        </w:rPr>
        <w:sectPr>
          <w:pgSz w:w="16838" w:h="11906" w:orient="landscape"/>
          <w:pgMar w:top="720" w:right="720" w:bottom="720" w:left="720" w:header="851" w:footer="992" w:gutter="0"/>
          <w:cols w:space="425" w:num="1"/>
          <w:docGrid w:type="lines" w:linePitch="312" w:charSpace="0"/>
        </w:sectPr>
      </w:pPr>
    </w:p>
    <w:p>
      <w:pPr>
        <w:widowControl/>
        <w:rPr>
          <w:rFonts w:ascii="Times New Roman" w:hAnsi="Times New Roman" w:eastAsia="方正小标宋_GBK" w:cs="Times New Roman"/>
          <w:color w:val="auto"/>
          <w:kern w:val="0"/>
          <w:sz w:val="36"/>
          <w:szCs w:val="36"/>
          <w:highlight w:val="none"/>
        </w:rPr>
      </w:pPr>
    </w:p>
    <w:tbl>
      <w:tblPr>
        <w:tblStyle w:val="10"/>
        <w:tblW w:w="15428" w:type="dxa"/>
        <w:tblInd w:w="0" w:type="dxa"/>
        <w:tblLayout w:type="fixed"/>
        <w:tblCellMar>
          <w:top w:w="0" w:type="dxa"/>
          <w:left w:w="0" w:type="dxa"/>
          <w:bottom w:w="0" w:type="dxa"/>
          <w:right w:w="0" w:type="dxa"/>
        </w:tblCellMar>
      </w:tblPr>
      <w:tblGrid>
        <w:gridCol w:w="61"/>
        <w:gridCol w:w="760"/>
        <w:gridCol w:w="3072"/>
        <w:gridCol w:w="2131"/>
        <w:gridCol w:w="2131"/>
        <w:gridCol w:w="1343"/>
        <w:gridCol w:w="1343"/>
        <w:gridCol w:w="1344"/>
        <w:gridCol w:w="1344"/>
        <w:gridCol w:w="1899"/>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3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3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82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0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val="en-US" w:eastAsia="zh-CN"/>
              </w:rPr>
              <w:t>湖南省少年儿童图书馆</w:t>
            </w:r>
            <w:r>
              <w:rPr>
                <w:rFonts w:hint="eastAsia"/>
              </w:rPr>
              <w:t>　</w:t>
            </w:r>
          </w:p>
        </w:tc>
        <w:tc>
          <w:tcPr>
            <w:tcW w:w="213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3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3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9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89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213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21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3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89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82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07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82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07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89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213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213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3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3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3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89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89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2,558.63</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2,556.59</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2.04</w:t>
            </w:r>
            <w:r>
              <w:rPr>
                <w:rFonts w:hint="default" w:ascii="宋体" w:hAnsi="宋体" w:eastAsia="宋体" w:cs="宋体"/>
                <w:kern w:val="0"/>
                <w:sz w:val="22"/>
                <w:lang w:val="en-US" w:eastAsia="zh-CN"/>
              </w:rPr>
              <w:t xml:space="preserve">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205</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hint="eastAsia"/>
              </w:rPr>
            </w:pPr>
            <w:r>
              <w:rPr>
                <w:rFonts w:hint="eastAsia"/>
              </w:rPr>
              <w:t>教育支出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2.50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2.50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20508</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进修及培训</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2.50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2.50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2050803</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培训支出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2.50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2.50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207</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文化旅游体育与传媒支出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2,359.13</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2,357.09</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2.04</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20701</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文化和旅游</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1,921.83</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1,919.79</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2.04</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2070104</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图书馆</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1,361.83</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1,359.79</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2.04</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2070199</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其他文化和旅游支出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560.00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560.00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20799</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其他文化旅游体育与传媒支出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437.30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437.30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2079999</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其他文化旅游体育与传媒支出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437.30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437.30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208</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社会保障和就业支持</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78.00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78.00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20805</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行政事业单位养老支出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78.00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78.00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2080505</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r>
              <w:rPr>
                <w:rFonts w:hint="eastAsia"/>
              </w:rPr>
              <w:t xml:space="preserve">  机关事业单位基本养老保险缴费支出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78.00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78.00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221</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住房保障支出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119.00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119.00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住房改革支出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119.00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119.00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2210201</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住房公积金</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82.00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82.00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450" w:hRule="atLeast"/>
        </w:trPr>
        <w:tc>
          <w:tcPr>
            <w:tcW w:w="821"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2210203</w:t>
            </w:r>
          </w:p>
        </w:tc>
        <w:tc>
          <w:tcPr>
            <w:tcW w:w="30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购房补贴</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37.00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b w:val="0"/>
                <w:bCs w:val="0"/>
                <w:kern w:val="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37.00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8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hint="eastAsia" w:ascii="宋体" w:hAnsi="宋体" w:eastAsia="宋体" w:cs="宋体"/>
                <w:kern w:val="0"/>
                <w:sz w:val="22"/>
                <w:lang w:val="en-US" w:eastAsia="zh-CN"/>
              </w:rPr>
            </w:pPr>
            <w:r>
              <w:rPr>
                <w:rFonts w:hint="default" w:ascii="宋体" w:hAnsi="宋体" w:eastAsia="宋体" w:cs="宋体"/>
                <w:kern w:val="0"/>
                <w:sz w:val="22"/>
                <w:lang w:val="en-US" w:eastAsia="zh-CN"/>
              </w:rPr>
              <w:t xml:space="preserve">0.00 </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rPr>
          <w:rFonts w:ascii="Times New Roman" w:hAnsi="Times New Roman" w:eastAsia="方正小标宋_GBK" w:cs="Times New Roman"/>
          <w:color w:val="auto"/>
          <w:kern w:val="0"/>
          <w:sz w:val="36"/>
          <w:szCs w:val="36"/>
          <w:highlight w:val="none"/>
        </w:rPr>
        <w:sectPr>
          <w:pgSz w:w="16838" w:h="11906" w:orient="landscape"/>
          <w:pgMar w:top="720" w:right="720" w:bottom="720" w:left="720" w:header="851" w:footer="992" w:gutter="0"/>
          <w:cols w:space="425" w:num="1"/>
          <w:docGrid w:type="lines" w:linePitch="312" w:charSpace="0"/>
        </w:sectPr>
      </w:pPr>
    </w:p>
    <w:p>
      <w:pPr>
        <w:widowControl/>
        <w:rPr>
          <w:rFonts w:ascii="Times New Roman" w:hAnsi="Times New Roman" w:eastAsia="方正小标宋_GBK" w:cs="Times New Roman"/>
          <w:color w:val="auto"/>
          <w:kern w:val="0"/>
          <w:sz w:val="36"/>
          <w:szCs w:val="36"/>
          <w:highlight w:val="none"/>
        </w:rPr>
      </w:pPr>
    </w:p>
    <w:tbl>
      <w:tblPr>
        <w:tblStyle w:val="10"/>
        <w:tblW w:w="15640" w:type="dxa"/>
        <w:tblInd w:w="93" w:type="dxa"/>
        <w:tblLayout w:type="fixed"/>
        <w:tblCellMar>
          <w:top w:w="0" w:type="dxa"/>
          <w:left w:w="108" w:type="dxa"/>
          <w:bottom w:w="0" w:type="dxa"/>
          <w:right w:w="108" w:type="dxa"/>
        </w:tblCellMar>
      </w:tblPr>
      <w:tblGrid>
        <w:gridCol w:w="1236"/>
        <w:gridCol w:w="263"/>
        <w:gridCol w:w="2740"/>
        <w:gridCol w:w="1917"/>
        <w:gridCol w:w="2100"/>
        <w:gridCol w:w="1767"/>
        <w:gridCol w:w="2033"/>
        <w:gridCol w:w="1883"/>
        <w:gridCol w:w="1701"/>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highlight w:val="none"/>
              </w:rPr>
            </w:pPr>
            <w:r>
              <w:rPr>
                <w:rFonts w:hint="eastAsia" w:ascii="华文中宋" w:hAnsi="华文中宋" w:eastAsia="华文中宋" w:cs="宋体"/>
                <w:color w:val="auto"/>
                <w:kern w:val="0"/>
                <w:sz w:val="32"/>
                <w:szCs w:val="32"/>
                <w:highlight w:val="none"/>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274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91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210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6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203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88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公开03表</w:t>
            </w:r>
          </w:p>
        </w:tc>
      </w:tr>
      <w:tr>
        <w:tblPrEx>
          <w:tblCellMar>
            <w:top w:w="0" w:type="dxa"/>
            <w:left w:w="108" w:type="dxa"/>
            <w:bottom w:w="0" w:type="dxa"/>
            <w:right w:w="108" w:type="dxa"/>
          </w:tblCellMar>
        </w:tblPrEx>
        <w:trPr>
          <w:trHeight w:val="403" w:hRule="atLeast"/>
        </w:trPr>
        <w:tc>
          <w:tcPr>
            <w:tcW w:w="6156"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0"/>
                <w:szCs w:val="20"/>
                <w:highlight w:val="none"/>
              </w:rPr>
              <w:t>部门：</w:t>
            </w:r>
            <w:r>
              <w:rPr>
                <w:rFonts w:hint="eastAsia" w:ascii="宋体" w:hAnsi="宋体" w:cs="宋体"/>
                <w:color w:val="auto"/>
                <w:kern w:val="0"/>
                <w:sz w:val="20"/>
                <w:szCs w:val="20"/>
                <w:highlight w:val="none"/>
                <w:lang w:val="en-US" w:eastAsia="zh-CN"/>
              </w:rPr>
              <w:t>湖南省少年儿童图书馆</w:t>
            </w:r>
            <w:r>
              <w:rPr>
                <w:rFonts w:hint="eastAsia" w:ascii="宋体" w:hAnsi="宋体" w:eastAsia="宋体" w:cs="宋体"/>
                <w:color w:val="auto"/>
                <w:kern w:val="0"/>
                <w:sz w:val="24"/>
                <w:szCs w:val="24"/>
                <w:highlight w:val="none"/>
              </w:rPr>
              <w:t>　</w:t>
            </w:r>
          </w:p>
        </w:tc>
        <w:tc>
          <w:tcPr>
            <w:tcW w:w="210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67" w:type="dxa"/>
            <w:tcBorders>
              <w:top w:val="nil"/>
              <w:left w:val="nil"/>
              <w:bottom w:val="nil"/>
              <w:right w:val="nil"/>
            </w:tcBorders>
            <w:shd w:val="clear" w:color="000000" w:fill="FFFFFF"/>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203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88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单位：万元</w:t>
            </w:r>
          </w:p>
        </w:tc>
      </w:tr>
      <w:tr>
        <w:tblPrEx>
          <w:tblCellMar>
            <w:top w:w="0" w:type="dxa"/>
            <w:left w:w="108" w:type="dxa"/>
            <w:bottom w:w="0" w:type="dxa"/>
            <w:right w:w="108" w:type="dxa"/>
          </w:tblCellMar>
        </w:tblPrEx>
        <w:trPr>
          <w:trHeight w:val="595" w:hRule="atLeast"/>
        </w:trPr>
        <w:tc>
          <w:tcPr>
            <w:tcW w:w="423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    目</w:t>
            </w:r>
          </w:p>
        </w:tc>
        <w:tc>
          <w:tcPr>
            <w:tcW w:w="19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本年支出合计</w:t>
            </w:r>
          </w:p>
        </w:tc>
        <w:tc>
          <w:tcPr>
            <w:tcW w:w="21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基本支出</w:t>
            </w:r>
          </w:p>
        </w:tc>
        <w:tc>
          <w:tcPr>
            <w:tcW w:w="17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项目支出</w:t>
            </w:r>
          </w:p>
        </w:tc>
        <w:tc>
          <w:tcPr>
            <w:tcW w:w="20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上缴上级支出</w:t>
            </w:r>
          </w:p>
        </w:tc>
        <w:tc>
          <w:tcPr>
            <w:tcW w:w="18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经营支出</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功能分类科目编码</w:t>
            </w:r>
          </w:p>
        </w:tc>
        <w:tc>
          <w:tcPr>
            <w:tcW w:w="27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科目名称</w:t>
            </w:r>
          </w:p>
        </w:tc>
        <w:tc>
          <w:tcPr>
            <w:tcW w:w="1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95" w:hRule="atLeast"/>
        </w:trPr>
        <w:tc>
          <w:tcPr>
            <w:tcW w:w="423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栏次</w:t>
            </w:r>
          </w:p>
        </w:tc>
        <w:tc>
          <w:tcPr>
            <w:tcW w:w="191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1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7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03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88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r>
      <w:tr>
        <w:tblPrEx>
          <w:tblCellMar>
            <w:top w:w="0" w:type="dxa"/>
            <w:left w:w="108" w:type="dxa"/>
            <w:bottom w:w="0" w:type="dxa"/>
            <w:right w:w="108" w:type="dxa"/>
          </w:tblCellMar>
        </w:tblPrEx>
        <w:trPr>
          <w:trHeight w:val="595" w:hRule="atLeast"/>
        </w:trPr>
        <w:tc>
          <w:tcPr>
            <w:tcW w:w="423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2,087.99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1,062.98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1,025.01 </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205</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教育支出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2.50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20508</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进修及培训</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2.50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2050803</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培训支出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2.50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207</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文化旅游体育与传媒支出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1,888.49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864.98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20701</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文化和旅游</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1,456.81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864.98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2070104</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图书馆</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1,443.32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864.98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2070199</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其他文化和旅游支出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13.50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0.00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20799</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其他文化旅游体育与传媒支出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431.68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0.00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2079999</w:t>
            </w:r>
          </w:p>
        </w:tc>
        <w:tc>
          <w:tcPr>
            <w:tcW w:w="274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其他文化旅游体育与传媒支出</w:t>
            </w:r>
          </w:p>
        </w:tc>
        <w:tc>
          <w:tcPr>
            <w:tcW w:w="191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431.68 </w:t>
            </w:r>
          </w:p>
        </w:tc>
        <w:tc>
          <w:tcPr>
            <w:tcW w:w="210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0.00 </w:t>
            </w:r>
          </w:p>
        </w:tc>
        <w:tc>
          <w:tcPr>
            <w:tcW w:w="176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208</w:t>
            </w:r>
          </w:p>
        </w:tc>
        <w:tc>
          <w:tcPr>
            <w:tcW w:w="274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0"/>
                <w:szCs w:val="20"/>
                <w:u w:val="none"/>
                <w:lang w:val="en-US" w:eastAsia="zh-CN" w:bidi="ar"/>
              </w:rPr>
              <w:t>社会保障和就业支出</w:t>
            </w:r>
          </w:p>
        </w:tc>
        <w:tc>
          <w:tcPr>
            <w:tcW w:w="191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78.00 </w:t>
            </w:r>
          </w:p>
        </w:tc>
        <w:tc>
          <w:tcPr>
            <w:tcW w:w="210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78.00 </w:t>
            </w:r>
          </w:p>
        </w:tc>
        <w:tc>
          <w:tcPr>
            <w:tcW w:w="1767"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20805</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0"/>
                <w:szCs w:val="20"/>
                <w:u w:val="none"/>
                <w:lang w:val="en-US" w:eastAsia="zh-CN" w:bidi="ar"/>
              </w:rPr>
              <w:t>行政事业单位养老支出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78.00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78.00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2080505</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机关事业单位基本养老保险缴费支出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78.00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78.00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221</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住房保障支出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119.00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119.00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22102</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住房改革支出</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119.00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119.00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2210201</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住房公积金</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82.00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82.00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2210203</w:t>
            </w:r>
          </w:p>
        </w:tc>
        <w:tc>
          <w:tcPr>
            <w:tcW w:w="274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i w:val="0"/>
                <w:iCs w:val="0"/>
                <w:color w:val="000000"/>
                <w:kern w:val="0"/>
                <w:sz w:val="22"/>
                <w:szCs w:val="22"/>
                <w:u w:val="none"/>
                <w:lang w:val="en-US" w:eastAsia="zh-CN" w:bidi="ar"/>
              </w:rPr>
              <w:t xml:space="preserve">  购房补贴</w:t>
            </w:r>
          </w:p>
        </w:tc>
        <w:tc>
          <w:tcPr>
            <w:tcW w:w="19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37.00 </w:t>
            </w:r>
          </w:p>
        </w:tc>
        <w:tc>
          <w:tcPr>
            <w:tcW w:w="21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37.00 </w:t>
            </w:r>
          </w:p>
        </w:tc>
        <w:tc>
          <w:tcPr>
            <w:tcW w:w="176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tc>
        <w:tc>
          <w:tcPr>
            <w:tcW w:w="20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8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highlight w:val="none"/>
              </w:rPr>
            </w:pPr>
            <w:r>
              <w:rPr>
                <w:rFonts w:hint="default"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0.00</w:t>
            </w:r>
          </w:p>
          <w:p>
            <w:pPr>
              <w:pStyle w:val="2"/>
              <w:rPr>
                <w:rFonts w:hint="eastAsia"/>
              </w:rPr>
            </w:pP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注：本表反映部门本年度各项支出情况。</w:t>
            </w:r>
          </w:p>
        </w:tc>
      </w:tr>
    </w:tbl>
    <w:p>
      <w:pPr>
        <w:widowControl/>
        <w:jc w:val="both"/>
        <w:rPr>
          <w:rFonts w:ascii="Times New Roman" w:hAnsi="Times New Roman" w:eastAsia="方正小标宋_GBK" w:cs="Times New Roman"/>
          <w:color w:val="auto"/>
          <w:kern w:val="0"/>
          <w:sz w:val="36"/>
          <w:szCs w:val="21"/>
          <w:highlight w:val="none"/>
        </w:rPr>
        <w:sectPr>
          <w:pgSz w:w="16838" w:h="11906" w:orient="landscape"/>
          <w:pgMar w:top="720" w:right="720" w:bottom="720" w:left="720" w:header="851" w:footer="992" w:gutter="0"/>
          <w:cols w:space="425" w:num="1"/>
          <w:docGrid w:type="lines" w:linePitch="312" w:charSpace="0"/>
        </w:sectPr>
      </w:pPr>
    </w:p>
    <w:p>
      <w:pPr>
        <w:widowControl/>
        <w:jc w:val="both"/>
        <w:rPr>
          <w:rFonts w:ascii="Times New Roman" w:hAnsi="Times New Roman" w:eastAsia="方正小标宋_GBK" w:cs="Times New Roman"/>
          <w:color w:val="auto"/>
          <w:kern w:val="0"/>
          <w:sz w:val="36"/>
          <w:szCs w:val="21"/>
          <w:highlight w:val="none"/>
        </w:rPr>
      </w:pPr>
    </w:p>
    <w:tbl>
      <w:tblPr>
        <w:tblStyle w:val="10"/>
        <w:tblW w:w="15521" w:type="dxa"/>
        <w:tblInd w:w="93" w:type="dxa"/>
        <w:tblLayout w:type="fixed"/>
        <w:tblCellMar>
          <w:top w:w="0" w:type="dxa"/>
          <w:left w:w="108" w:type="dxa"/>
          <w:bottom w:w="0" w:type="dxa"/>
          <w:right w:w="108" w:type="dxa"/>
        </w:tblCellMar>
      </w:tblPr>
      <w:tblGrid>
        <w:gridCol w:w="3563"/>
        <w:gridCol w:w="710"/>
        <w:gridCol w:w="1412"/>
        <w:gridCol w:w="321"/>
        <w:gridCol w:w="3195"/>
        <w:gridCol w:w="272"/>
        <w:gridCol w:w="750"/>
        <w:gridCol w:w="1400"/>
        <w:gridCol w:w="1366"/>
        <w:gridCol w:w="1217"/>
        <w:gridCol w:w="1315"/>
      </w:tblGrid>
      <w:tr>
        <w:tblPrEx>
          <w:tblCellMar>
            <w:top w:w="0" w:type="dxa"/>
            <w:left w:w="108" w:type="dxa"/>
            <w:bottom w:w="0" w:type="dxa"/>
            <w:right w:w="108" w:type="dxa"/>
          </w:tblCellMar>
        </w:tblPrEx>
        <w:trPr>
          <w:trHeight w:val="285" w:hRule="atLeast"/>
        </w:trPr>
        <w:tc>
          <w:tcPr>
            <w:tcW w:w="3563" w:type="dxa"/>
            <w:tcBorders>
              <w:top w:val="nil"/>
              <w:left w:val="nil"/>
              <w:bottom w:val="nil"/>
              <w:right w:val="nil"/>
            </w:tcBorders>
            <w:shd w:val="clear" w:color="auto" w:fill="auto"/>
            <w:noWrap/>
            <w:vAlign w:val="center"/>
          </w:tcPr>
          <w:p>
            <w:pPr>
              <w:widowControl/>
              <w:jc w:val="left"/>
              <w:rPr>
                <w:rFonts w:ascii="黑体" w:hAnsi="黑体" w:eastAsia="黑体" w:cs="宋体"/>
                <w:color w:val="auto"/>
                <w:kern w:val="0"/>
                <w:sz w:val="24"/>
                <w:szCs w:val="24"/>
                <w:highlight w:val="none"/>
              </w:rPr>
            </w:pPr>
            <w:bookmarkStart w:id="0" w:name="RANGE!A1:I22"/>
            <w:bookmarkEnd w:id="0"/>
            <w:bookmarkStart w:id="1" w:name="RANGE!A1:F16"/>
          </w:p>
        </w:tc>
        <w:tc>
          <w:tcPr>
            <w:tcW w:w="710"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1412"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3516"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1022"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1400"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1366"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1217"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c>
          <w:tcPr>
            <w:tcW w:w="1315"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highlight w:val="none"/>
              </w:rPr>
            </w:pPr>
            <w:r>
              <w:rPr>
                <w:rFonts w:hint="eastAsia" w:ascii="华文中宋" w:hAnsi="华文中宋" w:eastAsia="华文中宋" w:cs="宋体"/>
                <w:color w:val="auto"/>
                <w:kern w:val="0"/>
                <w:sz w:val="32"/>
                <w:szCs w:val="32"/>
                <w:highlight w:val="none"/>
              </w:rPr>
              <w:t>财政拨款收入支出决算总表</w:t>
            </w:r>
          </w:p>
        </w:tc>
      </w:tr>
      <w:tr>
        <w:tblPrEx>
          <w:tblCellMar>
            <w:top w:w="0" w:type="dxa"/>
            <w:left w:w="108" w:type="dxa"/>
            <w:bottom w:w="0" w:type="dxa"/>
            <w:right w:w="108" w:type="dxa"/>
          </w:tblCellMar>
        </w:tblPrEx>
        <w:trPr>
          <w:trHeight w:val="199" w:hRule="atLeast"/>
        </w:trPr>
        <w:tc>
          <w:tcPr>
            <w:tcW w:w="356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3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319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40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36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21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31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公开04表</w:t>
            </w:r>
          </w:p>
        </w:tc>
      </w:tr>
      <w:tr>
        <w:tblPrEx>
          <w:tblCellMar>
            <w:top w:w="0" w:type="dxa"/>
            <w:left w:w="108" w:type="dxa"/>
            <w:bottom w:w="0" w:type="dxa"/>
            <w:right w:w="108" w:type="dxa"/>
          </w:tblCellMar>
        </w:tblPrEx>
        <w:trPr>
          <w:trHeight w:val="300" w:hRule="atLeast"/>
        </w:trPr>
        <w:tc>
          <w:tcPr>
            <w:tcW w:w="3563"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部门：</w:t>
            </w:r>
            <w:r>
              <w:rPr>
                <w:rFonts w:hint="eastAsia" w:ascii="宋体" w:hAnsi="宋体" w:eastAsia="宋体" w:cs="宋体"/>
                <w:color w:val="auto"/>
                <w:kern w:val="0"/>
                <w:sz w:val="20"/>
                <w:szCs w:val="20"/>
                <w:highlight w:val="none"/>
                <w:lang w:eastAsia="zh-CN"/>
              </w:rPr>
              <w:t>湖南省文化和旅游厅</w:t>
            </w:r>
          </w:p>
        </w:tc>
        <w:tc>
          <w:tcPr>
            <w:tcW w:w="71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3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319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0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400"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36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21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31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单位：万元</w:t>
            </w:r>
          </w:p>
        </w:tc>
      </w:tr>
      <w:tr>
        <w:tblPrEx>
          <w:tblCellMar>
            <w:top w:w="0" w:type="dxa"/>
            <w:left w:w="108" w:type="dxa"/>
            <w:bottom w:w="0" w:type="dxa"/>
            <w:right w:w="108" w:type="dxa"/>
          </w:tblCellMar>
        </w:tblPrEx>
        <w:trPr>
          <w:trHeight w:val="402" w:hRule="atLeast"/>
        </w:trPr>
        <w:tc>
          <w:tcPr>
            <w:tcW w:w="6006"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收入</w:t>
            </w:r>
          </w:p>
        </w:tc>
        <w:tc>
          <w:tcPr>
            <w:tcW w:w="951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支出</w:t>
            </w:r>
          </w:p>
        </w:tc>
      </w:tr>
      <w:tr>
        <w:tblPrEx>
          <w:tblCellMar>
            <w:top w:w="0" w:type="dxa"/>
            <w:left w:w="108" w:type="dxa"/>
            <w:bottom w:w="0" w:type="dxa"/>
            <w:right w:w="108" w:type="dxa"/>
          </w:tblCellMar>
        </w:tblPrEx>
        <w:trPr>
          <w:trHeight w:val="630"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    目</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行次</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金额</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    目</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行次</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一般公共预算财政拨款</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政府性基金预算财政拨款</w:t>
            </w:r>
          </w:p>
        </w:tc>
        <w:tc>
          <w:tcPr>
            <w:tcW w:w="13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国有资本经营预算财政拨款</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栏    次</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栏    次</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2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一、一般公共预算财政拨款</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w:t>
            </w:r>
          </w:p>
        </w:tc>
        <w:tc>
          <w:tcPr>
            <w:tcW w:w="173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cs="宋体"/>
                <w:i w:val="0"/>
                <w:iCs w:val="0"/>
                <w:color w:val="auto"/>
                <w:kern w:val="2"/>
                <w:sz w:val="22"/>
                <w:szCs w:val="22"/>
                <w:highlight w:val="none"/>
                <w:u w:val="none"/>
                <w:lang w:val="en-US" w:eastAsia="zh-CN" w:bidi="ar-SA"/>
              </w:rPr>
              <w:t>2556.59</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一、一般公共服务支出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33</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二、政府性基金预算财政拨款</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二、外交支出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34</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三、国有资本经营预算财政拨款</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三、国防支出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四、公共安全支出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36</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五、教育支出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37</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rPr>
            </w:pPr>
            <w:r>
              <w:rPr>
                <w:rFonts w:hint="eastAsia" w:ascii="宋体" w:hAnsi="宋体" w:cs="宋体"/>
                <w:i w:val="0"/>
                <w:iCs w:val="0"/>
                <w:color w:val="auto"/>
                <w:kern w:val="0"/>
                <w:sz w:val="22"/>
                <w:szCs w:val="22"/>
                <w:highlight w:val="none"/>
                <w:u w:val="none"/>
                <w:lang w:val="en-US" w:eastAsia="zh-CN"/>
              </w:rPr>
              <w:t>2.50</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2.50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6</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六、科学技术支出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38</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7</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4"/>
                <w:szCs w:val="24"/>
                <w:highlight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39</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1760.05</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1760.05</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8</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40</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78.00</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78.00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9</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41</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rPr>
            </w:pPr>
            <w:r>
              <w:rPr>
                <w:rFonts w:hint="eastAsia" w:ascii="宋体" w:hAnsi="宋体" w:cs="宋体"/>
                <w:i w:val="0"/>
                <w:iCs w:val="0"/>
                <w:color w:val="auto"/>
                <w:kern w:val="0"/>
                <w:sz w:val="22"/>
                <w:szCs w:val="22"/>
                <w:highlight w:val="none"/>
                <w:u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highlight w:val="none"/>
              </w:rPr>
            </w:pPr>
            <w:r>
              <w:rPr>
                <w:rFonts w:hint="eastAsia" w:ascii="宋体" w:hAnsi="宋体" w:cs="宋体"/>
                <w:i w:val="0"/>
                <w:iCs w:val="0"/>
                <w:color w:val="auto"/>
                <w:kern w:val="0"/>
                <w:sz w:val="22"/>
                <w:szCs w:val="22"/>
                <w:highlight w:val="none"/>
                <w:u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10</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42</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rPr>
            </w:pPr>
            <w:r>
              <w:rPr>
                <w:rFonts w:hint="eastAsia" w:ascii="宋体" w:hAnsi="宋体" w:cs="宋体"/>
                <w:i w:val="0"/>
                <w:iCs w:val="0"/>
                <w:color w:val="auto"/>
                <w:kern w:val="0"/>
                <w:sz w:val="22"/>
                <w:szCs w:val="22"/>
                <w:highlight w:val="none"/>
                <w:u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rPr>
            </w:pPr>
            <w:r>
              <w:rPr>
                <w:rFonts w:hint="eastAsia" w:ascii="宋体" w:hAnsi="宋体" w:cs="宋体"/>
                <w:i w:val="0"/>
                <w:iCs w:val="0"/>
                <w:color w:val="auto"/>
                <w:kern w:val="0"/>
                <w:sz w:val="22"/>
                <w:szCs w:val="22"/>
                <w:highlight w:val="none"/>
                <w:u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11</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43</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12</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44</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13</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14</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46</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15</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47</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16</w:t>
            </w:r>
          </w:p>
        </w:tc>
        <w:tc>
          <w:tcPr>
            <w:tcW w:w="17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48</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17</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49</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18</w:t>
            </w:r>
          </w:p>
        </w:tc>
        <w:tc>
          <w:tcPr>
            <w:tcW w:w="173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50</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19</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51</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rPr>
            </w:pPr>
            <w:r>
              <w:rPr>
                <w:rFonts w:hint="eastAsia" w:ascii="宋体" w:hAnsi="宋体" w:cs="宋体"/>
                <w:i w:val="0"/>
                <w:iCs w:val="0"/>
                <w:color w:val="auto"/>
                <w:kern w:val="0"/>
                <w:sz w:val="22"/>
                <w:szCs w:val="22"/>
                <w:highlight w:val="none"/>
                <w:u w:val="none"/>
                <w:lang w:val="en-US" w:eastAsia="zh-CN"/>
              </w:rPr>
              <w:t>119.00</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highlight w:val="none"/>
              </w:rPr>
            </w:pPr>
            <w:r>
              <w:rPr>
                <w:rFonts w:hint="eastAsia" w:ascii="宋体" w:hAnsi="宋体" w:cs="宋体"/>
                <w:i w:val="0"/>
                <w:iCs w:val="0"/>
                <w:color w:val="auto"/>
                <w:kern w:val="0"/>
                <w:sz w:val="22"/>
                <w:szCs w:val="22"/>
                <w:highlight w:val="none"/>
                <w:u w:val="none"/>
                <w:lang w:val="en-US" w:eastAsia="zh-CN"/>
              </w:rPr>
              <w:t>119.00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20</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52</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21</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53</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22</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54</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23</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55</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24</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56</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25</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57</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26</w:t>
            </w:r>
          </w:p>
        </w:tc>
        <w:tc>
          <w:tcPr>
            <w:tcW w:w="17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highlight w:val="none"/>
              </w:rPr>
            </w:pPr>
          </w:p>
        </w:tc>
        <w:tc>
          <w:tcPr>
            <w:tcW w:w="34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58</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66"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本年收入合计</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27</w:t>
            </w:r>
          </w:p>
        </w:tc>
        <w:tc>
          <w:tcPr>
            <w:tcW w:w="173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i w:val="0"/>
                <w:iCs w:val="0"/>
                <w:color w:val="auto"/>
                <w:kern w:val="2"/>
                <w:sz w:val="22"/>
                <w:szCs w:val="22"/>
                <w:highlight w:val="none"/>
                <w:u w:val="none"/>
                <w:lang w:val="en-US" w:eastAsia="zh-CN" w:bidi="ar-SA"/>
              </w:rPr>
              <w:t>2556.59</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本年支出合计</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59</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1959.55</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1959.55</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年初财政拨款结转和结余</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28</w:t>
            </w:r>
          </w:p>
        </w:tc>
        <w:tc>
          <w:tcPr>
            <w:tcW w:w="173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222.78</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年末财政拨款结转和结余</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60</w:t>
            </w:r>
          </w:p>
        </w:tc>
        <w:tc>
          <w:tcPr>
            <w:tcW w:w="14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819.82</w:t>
            </w:r>
          </w:p>
        </w:tc>
        <w:tc>
          <w:tcPr>
            <w:tcW w:w="1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819.82</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一般公共预算财政拨款</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29</w:t>
            </w:r>
          </w:p>
        </w:tc>
        <w:tc>
          <w:tcPr>
            <w:tcW w:w="173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222.78</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61</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政府性基金预算财政拨款</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30</w:t>
            </w:r>
          </w:p>
        </w:tc>
        <w:tc>
          <w:tcPr>
            <w:tcW w:w="173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0.00</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62</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国有资本经营预算财政拨款</w:t>
            </w:r>
          </w:p>
        </w:tc>
        <w:tc>
          <w:tcPr>
            <w:tcW w:w="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31</w:t>
            </w:r>
          </w:p>
        </w:tc>
        <w:tc>
          <w:tcPr>
            <w:tcW w:w="1733" w:type="dxa"/>
            <w:gridSpan w:val="2"/>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0.00</w:t>
            </w:r>
          </w:p>
        </w:tc>
        <w:tc>
          <w:tcPr>
            <w:tcW w:w="34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63</w:t>
            </w:r>
          </w:p>
        </w:tc>
        <w:tc>
          <w:tcPr>
            <w:tcW w:w="1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36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highlight w:val="none"/>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总计</w:t>
            </w:r>
          </w:p>
        </w:tc>
        <w:tc>
          <w:tcPr>
            <w:tcW w:w="71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32</w:t>
            </w:r>
          </w:p>
        </w:tc>
        <w:tc>
          <w:tcPr>
            <w:tcW w:w="173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2"/>
                <w:highlight w:val="none"/>
                <w:lang w:val="en-US"/>
              </w:rPr>
            </w:pPr>
            <w:r>
              <w:rPr>
                <w:rFonts w:hint="eastAsia" w:ascii="宋体" w:hAnsi="宋体" w:cs="宋体"/>
                <w:i w:val="0"/>
                <w:iCs w:val="0"/>
                <w:color w:val="auto"/>
                <w:kern w:val="0"/>
                <w:sz w:val="22"/>
                <w:szCs w:val="22"/>
                <w:highlight w:val="none"/>
                <w:u w:val="none"/>
                <w:lang w:val="en-US" w:eastAsia="zh-CN"/>
              </w:rPr>
              <w:t>2779.37</w:t>
            </w:r>
          </w:p>
        </w:tc>
        <w:tc>
          <w:tcPr>
            <w:tcW w:w="34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总计</w:t>
            </w:r>
          </w:p>
        </w:tc>
        <w:tc>
          <w:tcPr>
            <w:tcW w:w="75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rPr>
              <w:t>64</w:t>
            </w:r>
          </w:p>
        </w:tc>
        <w:tc>
          <w:tcPr>
            <w:tcW w:w="140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i w:val="0"/>
                <w:iCs w:val="0"/>
                <w:color w:val="auto"/>
                <w:kern w:val="0"/>
                <w:sz w:val="22"/>
                <w:szCs w:val="22"/>
                <w:highlight w:val="none"/>
                <w:u w:val="none"/>
                <w:lang w:val="en-US" w:eastAsia="zh-CN"/>
              </w:rPr>
              <w:t>2779.37</w:t>
            </w:r>
          </w:p>
        </w:tc>
        <w:tc>
          <w:tcPr>
            <w:tcW w:w="136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color w:val="auto"/>
                <w:kern w:val="0"/>
                <w:sz w:val="22"/>
                <w:highlight w:val="none"/>
              </w:rPr>
            </w:pPr>
            <w:r>
              <w:rPr>
                <w:rFonts w:hint="eastAsia" w:ascii="宋体" w:hAnsi="宋体" w:cs="宋体"/>
                <w:i w:val="0"/>
                <w:iCs w:val="0"/>
                <w:color w:val="auto"/>
                <w:kern w:val="0"/>
                <w:sz w:val="22"/>
                <w:szCs w:val="22"/>
                <w:highlight w:val="none"/>
                <w:u w:val="none"/>
                <w:lang w:val="en-US" w:eastAsia="zh-CN"/>
              </w:rPr>
              <w:t>2779.37</w:t>
            </w:r>
          </w:p>
        </w:tc>
        <w:tc>
          <w:tcPr>
            <w:tcW w:w="121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color w:val="auto"/>
                <w:kern w:val="0"/>
                <w:sz w:val="22"/>
                <w:highlight w:val="none"/>
              </w:rPr>
            </w:pPr>
            <w:r>
              <w:rPr>
                <w:rFonts w:hint="eastAsia" w:ascii="宋体" w:hAnsi="宋体" w:eastAsia="宋体" w:cs="宋体"/>
                <w:color w:val="auto"/>
                <w:kern w:val="0"/>
                <w:sz w:val="22"/>
                <w:highlight w:val="none"/>
                <w:lang w:val="en-US" w:eastAsia="zh-CN"/>
              </w:rPr>
              <w:t>0.00</w:t>
            </w:r>
          </w:p>
        </w:tc>
        <w:tc>
          <w:tcPr>
            <w:tcW w:w="13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color w:val="auto"/>
                <w:kern w:val="0"/>
                <w:sz w:val="22"/>
                <w:highlight w:val="none"/>
              </w:rPr>
            </w:pPr>
            <w:r>
              <w:rPr>
                <w:rFonts w:hint="eastAsia" w:ascii="宋体" w:hAnsi="宋体" w:eastAsia="宋体" w:cs="宋体"/>
                <w:color w:val="auto"/>
                <w:kern w:val="0"/>
                <w:sz w:val="22"/>
                <w:highlight w:val="none"/>
                <w:lang w:val="en-US" w:eastAsia="zh-CN"/>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highlight w:val="none"/>
        </w:rPr>
      </w:pPr>
    </w:p>
    <w:p>
      <w:pPr>
        <w:widowControl/>
        <w:jc w:val="center"/>
        <w:rPr>
          <w:rFonts w:ascii="Times New Roman" w:hAnsi="Times New Roman" w:eastAsia="方正小标宋_GBK" w:cs="Times New Roman"/>
          <w:color w:val="auto"/>
          <w:kern w:val="0"/>
          <w:sz w:val="36"/>
          <w:szCs w:val="36"/>
          <w:highlight w:val="none"/>
        </w:rPr>
        <w:sectPr>
          <w:pgSz w:w="16838" w:h="11906" w:orient="landscape"/>
          <w:pgMar w:top="720" w:right="720" w:bottom="720" w:left="720" w:header="851" w:footer="992" w:gutter="0"/>
          <w:cols w:space="425" w:num="1"/>
          <w:docGrid w:type="lines" w:linePitch="312" w:charSpace="0"/>
        </w:sectPr>
      </w:pPr>
    </w:p>
    <w:p>
      <w:pPr>
        <w:widowControl/>
        <w:jc w:val="center"/>
        <w:rPr>
          <w:rFonts w:ascii="Times New Roman" w:hAnsi="Times New Roman" w:eastAsia="方正小标宋_GBK" w:cs="Times New Roman"/>
          <w:color w:val="auto"/>
          <w:kern w:val="0"/>
          <w:sz w:val="36"/>
          <w:szCs w:val="36"/>
          <w:highlight w:val="none"/>
        </w:rPr>
      </w:pPr>
    </w:p>
    <w:p>
      <w:pPr>
        <w:widowControl/>
        <w:jc w:val="center"/>
        <w:rPr>
          <w:rFonts w:ascii="Times New Roman" w:hAnsi="Times New Roman" w:eastAsia="方正小标宋_GBK" w:cs="Times New Roman"/>
          <w:color w:val="auto"/>
          <w:kern w:val="0"/>
          <w:sz w:val="36"/>
          <w:szCs w:val="36"/>
          <w:highlight w:val="none"/>
        </w:rPr>
      </w:pPr>
      <w:r>
        <w:rPr>
          <w:rFonts w:ascii="Times New Roman" w:hAnsi="Times New Roman" w:eastAsia="方正小标宋_GBK" w:cs="Times New Roman"/>
          <w:color w:val="auto"/>
          <w:kern w:val="0"/>
          <w:sz w:val="36"/>
          <w:szCs w:val="36"/>
          <w:highlight w:val="none"/>
        </w:rPr>
        <w:t>一般公共预算财政拨款支出决算表</w:t>
      </w:r>
      <w:bookmarkEnd w:id="1"/>
    </w:p>
    <w:p>
      <w:pPr>
        <w:widowControl/>
        <w:spacing w:before="156" w:beforeLines="50"/>
        <w:jc w:val="left"/>
        <w:rPr>
          <w:rFonts w:ascii="Times New Roman" w:hAnsi="Times New Roman" w:eastAsia="仿宋_GB2312" w:cs="Times New Roman"/>
          <w:color w:val="auto"/>
          <w:kern w:val="0"/>
          <w:szCs w:val="21"/>
          <w:highlight w:val="none"/>
        </w:rPr>
      </w:pPr>
      <w:r>
        <w:rPr>
          <w:rFonts w:hint="eastAsia" w:ascii="Times New Roman" w:hAnsi="Times New Roman" w:eastAsia="仿宋_GB2312" w:cs="Times New Roman"/>
          <w:color w:val="auto"/>
          <w:kern w:val="0"/>
          <w:szCs w:val="21"/>
          <w:highlight w:val="none"/>
        </w:rPr>
        <w:t xml:space="preserve">     </w:t>
      </w:r>
      <w:r>
        <w:rPr>
          <w:rFonts w:ascii="Times New Roman" w:hAnsi="Times New Roman" w:eastAsia="仿宋_GB2312" w:cs="Times New Roman"/>
          <w:color w:val="auto"/>
          <w:kern w:val="0"/>
          <w:szCs w:val="21"/>
          <w:highlight w:val="none"/>
        </w:rPr>
        <w:t>部门：</w:t>
      </w:r>
      <w:r>
        <w:rPr>
          <w:rFonts w:hint="eastAsia" w:ascii="Times New Roman" w:hAnsi="Times New Roman" w:eastAsia="仿宋_GB2312" w:cs="Times New Roman"/>
          <w:color w:val="auto"/>
          <w:kern w:val="0"/>
          <w:szCs w:val="21"/>
          <w:highlight w:val="none"/>
          <w:lang w:eastAsia="zh-CN"/>
        </w:rPr>
        <w:t>湖南省</w:t>
      </w:r>
      <w:r>
        <w:rPr>
          <w:rFonts w:hint="eastAsia" w:ascii="Times New Roman" w:hAnsi="Times New Roman" w:eastAsia="仿宋_GB2312" w:cs="Times New Roman"/>
          <w:color w:val="auto"/>
          <w:kern w:val="0"/>
          <w:szCs w:val="21"/>
          <w:highlight w:val="none"/>
          <w:lang w:val="en-US" w:eastAsia="zh-CN"/>
        </w:rPr>
        <w:t>少年儿童图书馆</w:t>
      </w:r>
      <w:r>
        <w:rPr>
          <w:rFonts w:ascii="Times New Roman" w:hAnsi="Times New Roman" w:eastAsia="仿宋_GB2312" w:cs="Times New Roman"/>
          <w:color w:val="auto"/>
          <w:kern w:val="0"/>
          <w:szCs w:val="21"/>
          <w:highlight w:val="none"/>
        </w:rPr>
        <w:t xml:space="preserve">                    </w:t>
      </w:r>
      <w:r>
        <w:rPr>
          <w:rFonts w:hint="eastAsia" w:ascii="Times New Roman" w:hAnsi="Times New Roman" w:eastAsia="仿宋_GB2312" w:cs="Times New Roman"/>
          <w:color w:val="auto"/>
          <w:kern w:val="0"/>
          <w:szCs w:val="21"/>
          <w:highlight w:val="none"/>
        </w:rPr>
        <w:t xml:space="preserve">                                 </w:t>
      </w:r>
      <w:r>
        <w:rPr>
          <w:rFonts w:ascii="Times New Roman" w:hAnsi="Times New Roman" w:eastAsia="仿宋_GB2312" w:cs="Times New Roman"/>
          <w:color w:val="auto"/>
          <w:kern w:val="0"/>
          <w:szCs w:val="21"/>
          <w:highlight w:val="none"/>
        </w:rPr>
        <w:t xml:space="preserve">                                    </w:t>
      </w:r>
      <w:r>
        <w:rPr>
          <w:rFonts w:hint="eastAsia" w:ascii="Times New Roman" w:hAnsi="Times New Roman" w:eastAsia="仿宋_GB2312" w:cs="Times New Roman"/>
          <w:color w:val="auto"/>
          <w:kern w:val="0"/>
          <w:szCs w:val="21"/>
          <w:highlight w:val="none"/>
          <w:lang w:val="en-US" w:eastAsia="zh-CN"/>
        </w:rPr>
        <w:t xml:space="preserve">      </w:t>
      </w:r>
      <w:r>
        <w:rPr>
          <w:rFonts w:ascii="Times New Roman" w:hAnsi="Times New Roman" w:eastAsia="仿宋_GB2312" w:cs="Times New Roman"/>
          <w:color w:val="auto"/>
          <w:kern w:val="0"/>
          <w:szCs w:val="21"/>
          <w:highlight w:val="none"/>
        </w:rPr>
        <w:t xml:space="preserve">  公开05表</w:t>
      </w:r>
    </w:p>
    <w:p>
      <w:pPr>
        <w:widowControl/>
        <w:jc w:val="left"/>
        <w:rPr>
          <w:rFonts w:ascii="Times New Roman" w:hAnsi="Times New Roman" w:eastAsia="宋体" w:cs="Times New Roman"/>
          <w:color w:val="auto"/>
          <w:kern w:val="0"/>
          <w:sz w:val="20"/>
          <w:szCs w:val="20"/>
          <w:highlight w:val="none"/>
        </w:rPr>
      </w:pPr>
      <w:r>
        <w:rPr>
          <w:rFonts w:ascii="Times New Roman" w:hAnsi="Times New Roman" w:eastAsia="仿宋_GB2312" w:cs="Times New Roman"/>
          <w:color w:val="auto"/>
          <w:kern w:val="0"/>
          <w:szCs w:val="21"/>
          <w:highlight w:val="none"/>
        </w:rPr>
        <w:t xml:space="preserve">                                                                                                                     </w:t>
      </w:r>
      <w:r>
        <w:rPr>
          <w:rFonts w:hint="eastAsia" w:ascii="Times New Roman" w:hAnsi="Times New Roman" w:eastAsia="仿宋_GB2312" w:cs="Times New Roman"/>
          <w:color w:val="auto"/>
          <w:kern w:val="0"/>
          <w:szCs w:val="21"/>
          <w:highlight w:val="none"/>
        </w:rPr>
        <w:t xml:space="preserve">      </w:t>
      </w:r>
      <w:r>
        <w:rPr>
          <w:rFonts w:ascii="Times New Roman" w:hAnsi="Times New Roman" w:eastAsia="仿宋_GB2312" w:cs="Times New Roman"/>
          <w:color w:val="auto"/>
          <w:kern w:val="0"/>
          <w:szCs w:val="21"/>
          <w:highlight w:val="none"/>
        </w:rPr>
        <w:t xml:space="preserve">       单位：万元</w:t>
      </w:r>
    </w:p>
    <w:tbl>
      <w:tblPr>
        <w:tblStyle w:val="10"/>
        <w:tblW w:w="14219" w:type="dxa"/>
        <w:jc w:val="center"/>
        <w:tblLayout w:type="autofit"/>
        <w:tblCellMar>
          <w:top w:w="0" w:type="dxa"/>
          <w:left w:w="108" w:type="dxa"/>
          <w:bottom w:w="0" w:type="dxa"/>
          <w:right w:w="108" w:type="dxa"/>
        </w:tblCellMar>
      </w:tblPr>
      <w:tblGrid>
        <w:gridCol w:w="1902"/>
        <w:gridCol w:w="4100"/>
        <w:gridCol w:w="2739"/>
        <w:gridCol w:w="2739"/>
        <w:gridCol w:w="2739"/>
      </w:tblGrid>
      <w:tr>
        <w:tblPrEx>
          <w:tblCellMar>
            <w:top w:w="0" w:type="dxa"/>
            <w:left w:w="108" w:type="dxa"/>
            <w:bottom w:w="0" w:type="dxa"/>
            <w:right w:w="108" w:type="dxa"/>
          </w:tblCellMar>
        </w:tblPrEx>
        <w:trPr>
          <w:trHeight w:val="405" w:hRule="atLeast"/>
          <w:jc w:val="center"/>
        </w:trPr>
        <w:tc>
          <w:tcPr>
            <w:tcW w:w="6002"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项    目</w:t>
            </w:r>
          </w:p>
        </w:tc>
        <w:tc>
          <w:tcPr>
            <w:tcW w:w="821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本年支出</w:t>
            </w:r>
          </w:p>
        </w:tc>
      </w:tr>
      <w:tr>
        <w:tblPrEx>
          <w:tblCellMar>
            <w:top w:w="0" w:type="dxa"/>
            <w:left w:w="108" w:type="dxa"/>
            <w:bottom w:w="0" w:type="dxa"/>
            <w:right w:w="108" w:type="dxa"/>
          </w:tblCellMar>
        </w:tblPrEx>
        <w:trPr>
          <w:trHeight w:val="495" w:hRule="atLeast"/>
          <w:jc w:val="center"/>
        </w:trPr>
        <w:tc>
          <w:tcPr>
            <w:tcW w:w="1902"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功能分类科目编码</w:t>
            </w:r>
          </w:p>
        </w:tc>
        <w:tc>
          <w:tcPr>
            <w:tcW w:w="4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科目名称</w:t>
            </w:r>
          </w:p>
        </w:tc>
        <w:tc>
          <w:tcPr>
            <w:tcW w:w="27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小计</w:t>
            </w:r>
          </w:p>
        </w:tc>
        <w:tc>
          <w:tcPr>
            <w:tcW w:w="27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基本支出</w:t>
            </w:r>
          </w:p>
        </w:tc>
        <w:tc>
          <w:tcPr>
            <w:tcW w:w="273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auto"/>
                <w:kern w:val="0"/>
                <w:szCs w:val="21"/>
                <w:highlight w:val="none"/>
              </w:rPr>
            </w:pPr>
            <w:r>
              <w:rPr>
                <w:rFonts w:ascii="Times New Roman" w:hAnsi="Times New Roman" w:eastAsia="仿宋_GB2312" w:cs="Times New Roman"/>
                <w:b/>
                <w:color w:val="auto"/>
                <w:kern w:val="0"/>
                <w:szCs w:val="21"/>
                <w:highlight w:val="none"/>
              </w:rPr>
              <w:t>项目支出</w:t>
            </w:r>
          </w:p>
        </w:tc>
      </w:tr>
      <w:tr>
        <w:tblPrEx>
          <w:tblCellMar>
            <w:top w:w="0" w:type="dxa"/>
            <w:left w:w="108" w:type="dxa"/>
            <w:bottom w:w="0" w:type="dxa"/>
            <w:right w:w="108" w:type="dxa"/>
          </w:tblCellMar>
        </w:tblPrEx>
        <w:trPr>
          <w:trHeight w:val="360" w:hRule="atLeast"/>
          <w:jc w:val="center"/>
        </w:trPr>
        <w:tc>
          <w:tcPr>
            <w:tcW w:w="190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4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27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27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273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highlight w:val="none"/>
              </w:rPr>
            </w:pPr>
          </w:p>
        </w:tc>
      </w:tr>
      <w:tr>
        <w:tblPrEx>
          <w:tblCellMar>
            <w:top w:w="0" w:type="dxa"/>
            <w:left w:w="108" w:type="dxa"/>
            <w:bottom w:w="0" w:type="dxa"/>
            <w:right w:w="108" w:type="dxa"/>
          </w:tblCellMar>
        </w:tblPrEx>
        <w:trPr>
          <w:trHeight w:val="450" w:hRule="atLeast"/>
          <w:jc w:val="center"/>
        </w:trPr>
        <w:tc>
          <w:tcPr>
            <w:tcW w:w="190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410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27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27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highlight w:val="none"/>
              </w:rPr>
            </w:pPr>
          </w:p>
        </w:tc>
        <w:tc>
          <w:tcPr>
            <w:tcW w:w="273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highlight w:val="none"/>
              </w:rPr>
            </w:pPr>
          </w:p>
        </w:tc>
      </w:tr>
      <w:tr>
        <w:tblPrEx>
          <w:tblCellMar>
            <w:top w:w="0" w:type="dxa"/>
            <w:left w:w="108" w:type="dxa"/>
            <w:bottom w:w="0" w:type="dxa"/>
            <w:right w:w="108" w:type="dxa"/>
          </w:tblCellMar>
        </w:tblPrEx>
        <w:trPr>
          <w:trHeight w:val="450" w:hRule="atLeast"/>
          <w:jc w:val="center"/>
        </w:trPr>
        <w:tc>
          <w:tcPr>
            <w:tcW w:w="600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栏次</w:t>
            </w:r>
          </w:p>
        </w:tc>
        <w:tc>
          <w:tcPr>
            <w:tcW w:w="27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1</w:t>
            </w:r>
          </w:p>
        </w:tc>
        <w:tc>
          <w:tcPr>
            <w:tcW w:w="27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2</w:t>
            </w:r>
          </w:p>
        </w:tc>
        <w:tc>
          <w:tcPr>
            <w:tcW w:w="273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3</w:t>
            </w:r>
          </w:p>
        </w:tc>
      </w:tr>
      <w:tr>
        <w:tblPrEx>
          <w:tblCellMar>
            <w:top w:w="0" w:type="dxa"/>
            <w:left w:w="108" w:type="dxa"/>
            <w:bottom w:w="0" w:type="dxa"/>
            <w:right w:w="108" w:type="dxa"/>
          </w:tblCellMar>
        </w:tblPrEx>
        <w:trPr>
          <w:trHeight w:val="450" w:hRule="atLeast"/>
          <w:jc w:val="center"/>
        </w:trPr>
        <w:tc>
          <w:tcPr>
            <w:tcW w:w="600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合计</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1,959.56</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1,011.61</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947.95</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205</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教育支出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2.50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20508</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进修及培训</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2.50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2050803</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2.50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1.50</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207</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文化旅游体育与传媒支出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1,760.06</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813.61</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946.45</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20701</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文化和旅游</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1,328.38</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813.61</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514.77</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2070104</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1,314.89</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813.61</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501.28</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2070199</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13.50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13.50</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20799</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其他文化旅游体育与传媒支出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431.68</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431.68</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2079999</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431.68</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73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431.68</w:t>
            </w: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208</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78.00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78.00</w:t>
            </w:r>
          </w:p>
        </w:tc>
        <w:tc>
          <w:tcPr>
            <w:tcW w:w="2739" w:type="dxa"/>
            <w:tcBorders>
              <w:top w:val="nil"/>
              <w:left w:val="nil"/>
              <w:bottom w:val="single" w:color="auto" w:sz="4" w:space="0"/>
              <w:right w:val="single" w:color="auto" w:sz="8" w:space="0"/>
            </w:tcBorders>
            <w:shd w:val="clear" w:color="auto" w:fill="auto"/>
            <w:vAlign w:val="center"/>
          </w:tcPr>
          <w:p>
            <w:pPr>
              <w:jc w:val="right"/>
              <w:rPr>
                <w:rFonts w:hint="eastAsia" w:ascii="宋体" w:hAnsi="宋体" w:eastAsia="宋体" w:cs="宋体"/>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20805</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78.00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78.00</w:t>
            </w:r>
          </w:p>
        </w:tc>
        <w:tc>
          <w:tcPr>
            <w:tcW w:w="2739" w:type="dxa"/>
            <w:tcBorders>
              <w:top w:val="nil"/>
              <w:left w:val="nil"/>
              <w:bottom w:val="single" w:color="auto" w:sz="4" w:space="0"/>
              <w:right w:val="single" w:color="auto" w:sz="8" w:space="0"/>
            </w:tcBorders>
            <w:shd w:val="clear" w:color="auto" w:fill="auto"/>
            <w:vAlign w:val="center"/>
          </w:tcPr>
          <w:p>
            <w:pPr>
              <w:jc w:val="right"/>
              <w:rPr>
                <w:rFonts w:hint="eastAsia" w:ascii="宋体" w:hAnsi="宋体" w:eastAsia="宋体" w:cs="宋体"/>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41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7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78.00</w:t>
            </w:r>
          </w:p>
        </w:tc>
        <w:tc>
          <w:tcPr>
            <w:tcW w:w="27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78.00</w:t>
            </w:r>
          </w:p>
        </w:tc>
        <w:tc>
          <w:tcPr>
            <w:tcW w:w="273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221</w:t>
            </w:r>
          </w:p>
        </w:tc>
        <w:tc>
          <w:tcPr>
            <w:tcW w:w="41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27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119.00</w:t>
            </w:r>
          </w:p>
        </w:tc>
        <w:tc>
          <w:tcPr>
            <w:tcW w:w="27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119.00</w:t>
            </w:r>
          </w:p>
        </w:tc>
        <w:tc>
          <w:tcPr>
            <w:tcW w:w="2739" w:type="dxa"/>
            <w:tcBorders>
              <w:top w:val="single" w:color="auto" w:sz="4" w:space="0"/>
              <w:left w:val="nil"/>
              <w:bottom w:val="single" w:color="auto" w:sz="4" w:space="0"/>
              <w:right w:val="single" w:color="auto" w:sz="8" w:space="0"/>
            </w:tcBorders>
            <w:shd w:val="clear" w:color="auto" w:fill="auto"/>
            <w:vAlign w:val="center"/>
          </w:tcPr>
          <w:p>
            <w:pPr>
              <w:jc w:val="right"/>
              <w:rPr>
                <w:rFonts w:hint="eastAsia" w:ascii="宋体" w:hAnsi="宋体" w:eastAsia="宋体" w:cs="宋体"/>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22102</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b/>
                <w:bCs/>
                <w:i w:val="0"/>
                <w:iCs w:val="0"/>
                <w:color w:val="000000"/>
                <w:kern w:val="0"/>
                <w:sz w:val="22"/>
                <w:szCs w:val="22"/>
                <w:u w:val="none"/>
                <w:lang w:val="en-US" w:eastAsia="zh-CN" w:bidi="ar"/>
              </w:rPr>
              <w:t>住房改革支出</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119.00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119.00</w:t>
            </w:r>
          </w:p>
        </w:tc>
        <w:tc>
          <w:tcPr>
            <w:tcW w:w="2739" w:type="dxa"/>
            <w:tcBorders>
              <w:top w:val="nil"/>
              <w:left w:val="nil"/>
              <w:bottom w:val="single" w:color="auto" w:sz="4" w:space="0"/>
              <w:right w:val="single" w:color="auto" w:sz="8" w:space="0"/>
            </w:tcBorders>
            <w:shd w:val="clear" w:color="auto" w:fill="auto"/>
            <w:vAlign w:val="center"/>
          </w:tcPr>
          <w:p>
            <w:pPr>
              <w:jc w:val="right"/>
              <w:rPr>
                <w:rFonts w:hint="eastAsia" w:ascii="宋体" w:hAnsi="宋体" w:eastAsia="宋体" w:cs="宋体"/>
                <w:i w:val="0"/>
                <w:iCs w:val="0"/>
                <w:color w:val="auto"/>
                <w:kern w:val="0"/>
                <w:sz w:val="22"/>
                <w:szCs w:val="22"/>
                <w:highlight w:val="none"/>
                <w:u w:val="none"/>
                <w:lang w:val="en-US" w:eastAsia="zh-CN"/>
              </w:rPr>
            </w:pP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82.00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82.00</w:t>
            </w:r>
          </w:p>
        </w:tc>
        <w:tc>
          <w:tcPr>
            <w:tcW w:w="27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highlight w:val="none"/>
              </w:rPr>
            </w:pPr>
          </w:p>
        </w:tc>
      </w:tr>
      <w:tr>
        <w:tblPrEx>
          <w:tblCellMar>
            <w:top w:w="0" w:type="dxa"/>
            <w:left w:w="108" w:type="dxa"/>
            <w:bottom w:w="0" w:type="dxa"/>
            <w:right w:w="108" w:type="dxa"/>
          </w:tblCellMar>
        </w:tblPrEx>
        <w:trPr>
          <w:trHeight w:val="450" w:hRule="atLeast"/>
          <w:jc w:val="center"/>
        </w:trPr>
        <w:tc>
          <w:tcPr>
            <w:tcW w:w="1902"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2210203</w:t>
            </w:r>
          </w:p>
        </w:tc>
        <w:tc>
          <w:tcPr>
            <w:tcW w:w="4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37.00</w:t>
            </w:r>
          </w:p>
        </w:tc>
        <w:tc>
          <w:tcPr>
            <w:tcW w:w="27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highlight w:val="none"/>
              </w:rPr>
            </w:pPr>
            <w:r>
              <w:rPr>
                <w:rFonts w:hint="eastAsia" w:ascii="宋体" w:hAnsi="宋体" w:eastAsia="宋体" w:cs="宋体"/>
                <w:i w:val="0"/>
                <w:iCs w:val="0"/>
                <w:color w:val="000000"/>
                <w:kern w:val="0"/>
                <w:sz w:val="22"/>
                <w:szCs w:val="22"/>
                <w:u w:val="none"/>
                <w:lang w:val="en-US" w:eastAsia="zh-CN" w:bidi="ar"/>
              </w:rPr>
              <w:t>37.00</w:t>
            </w:r>
          </w:p>
        </w:tc>
        <w:tc>
          <w:tcPr>
            <w:tcW w:w="273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highlight w:val="none"/>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注：本表反映部门本年度一般公共预算财政拨款支出情况。</w:t>
            </w:r>
          </w:p>
        </w:tc>
      </w:tr>
    </w:tbl>
    <w:p>
      <w:pPr>
        <w:widowControl/>
        <w:jc w:val="left"/>
        <w:rPr>
          <w:rFonts w:ascii="Times New Roman" w:hAnsi="Times New Roman" w:eastAsia="仿宋_GB2312" w:cs="Times New Roman"/>
          <w:bCs/>
          <w:color w:val="auto"/>
          <w:kern w:val="0"/>
          <w:szCs w:val="21"/>
          <w:highlight w:val="none"/>
        </w:rPr>
      </w:pPr>
    </w:p>
    <w:p>
      <w:pPr>
        <w:widowControl/>
        <w:jc w:val="left"/>
        <w:rPr>
          <w:color w:val="auto"/>
          <w:highlight w:val="none"/>
        </w:rPr>
        <w:sectPr>
          <w:pgSz w:w="16838" w:h="11906" w:orient="landscape"/>
          <w:pgMar w:top="720" w:right="720" w:bottom="720" w:left="720" w:header="851" w:footer="992" w:gutter="0"/>
          <w:cols w:space="425" w:num="1"/>
          <w:docGrid w:type="lines" w:linePitch="312" w:charSpace="0"/>
        </w:sectPr>
      </w:pPr>
      <w:r>
        <w:rPr>
          <w:color w:val="auto"/>
          <w:highlight w:val="none"/>
        </w:rPr>
        <w:br w:type="page"/>
      </w:r>
    </w:p>
    <w:p>
      <w:pPr>
        <w:widowControl/>
        <w:jc w:val="left"/>
        <w:rPr>
          <w:color w:val="auto"/>
          <w:highlight w:val="none"/>
        </w:rPr>
      </w:pPr>
    </w:p>
    <w:tbl>
      <w:tblPr>
        <w:tblStyle w:val="10"/>
        <w:tblW w:w="0" w:type="auto"/>
        <w:tblInd w:w="0" w:type="dxa"/>
        <w:tblLayout w:type="autofit"/>
        <w:tblCellMar>
          <w:top w:w="0" w:type="dxa"/>
          <w:left w:w="108" w:type="dxa"/>
          <w:bottom w:w="0" w:type="dxa"/>
          <w:right w:w="108" w:type="dxa"/>
        </w:tblCellMar>
      </w:tblPr>
      <w:tblGrid>
        <w:gridCol w:w="924"/>
        <w:gridCol w:w="237"/>
        <w:gridCol w:w="87"/>
        <w:gridCol w:w="1197"/>
        <w:gridCol w:w="1873"/>
        <w:gridCol w:w="103"/>
        <w:gridCol w:w="1005"/>
        <w:gridCol w:w="1122"/>
        <w:gridCol w:w="282"/>
        <w:gridCol w:w="1825"/>
        <w:gridCol w:w="176"/>
        <w:gridCol w:w="833"/>
        <w:gridCol w:w="1123"/>
        <w:gridCol w:w="325"/>
        <w:gridCol w:w="1930"/>
        <w:gridCol w:w="1561"/>
        <w:gridCol w:w="616"/>
        <w:gridCol w:w="395"/>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Cs w:val="32"/>
                <w:highlight w:val="none"/>
              </w:rPr>
            </w:pPr>
            <w:bookmarkStart w:id="2" w:name="RANGE!A1:I34"/>
            <w:r>
              <w:rPr>
                <w:rFonts w:hint="eastAsia" w:ascii="华文中宋" w:hAnsi="华文中宋" w:eastAsia="华文中宋" w:cs="宋体"/>
                <w:color w:val="auto"/>
                <w:kern w:val="0"/>
                <w:szCs w:val="32"/>
                <w:highlight w:val="none"/>
              </w:rPr>
              <w:t>一般公共预算财政拨款基本支出决算明细表</w:t>
            </w:r>
            <w:bookmarkEnd w:id="2"/>
          </w:p>
          <w:p>
            <w:pPr>
              <w:widowControl/>
              <w:wordWrap w:val="0"/>
              <w:jc w:val="both"/>
              <w:rPr>
                <w:rFonts w:ascii="Times New Roman" w:hAnsi="Times New Roman" w:eastAsia="仿宋_GB2312" w:cs="Times New Roman"/>
                <w:color w:val="auto"/>
                <w:kern w:val="0"/>
                <w:szCs w:val="21"/>
                <w:highlight w:val="none"/>
              </w:rPr>
            </w:pPr>
            <w:r>
              <w:rPr>
                <w:rFonts w:ascii="Times New Roman" w:hAnsi="Times New Roman" w:eastAsia="仿宋_GB2312" w:cs="Times New Roman"/>
                <w:color w:val="auto"/>
                <w:kern w:val="0"/>
                <w:szCs w:val="21"/>
                <w:highlight w:val="none"/>
              </w:rPr>
              <w:t>部门：</w:t>
            </w:r>
            <w:r>
              <w:rPr>
                <w:rFonts w:hint="eastAsia" w:ascii="Times New Roman" w:hAnsi="Times New Roman" w:eastAsia="仿宋_GB2312" w:cs="Times New Roman"/>
                <w:color w:val="auto"/>
                <w:kern w:val="0"/>
                <w:szCs w:val="21"/>
                <w:highlight w:val="none"/>
                <w:lang w:eastAsia="zh-CN"/>
              </w:rPr>
              <w:t>湖南省文化和旅游厅</w:t>
            </w:r>
            <w:r>
              <w:rPr>
                <w:rFonts w:ascii="Times New Roman" w:hAnsi="Times New Roman" w:eastAsia="仿宋_GB2312" w:cs="Times New Roman"/>
                <w:color w:val="auto"/>
                <w:kern w:val="0"/>
                <w:szCs w:val="21"/>
                <w:highlight w:val="none"/>
              </w:rPr>
              <w:t xml:space="preserve"> </w:t>
            </w:r>
            <w:r>
              <w:rPr>
                <w:rFonts w:hint="eastAsia" w:ascii="Times New Roman" w:hAnsi="Times New Roman" w:eastAsia="仿宋_GB2312" w:cs="Times New Roman"/>
                <w:color w:val="auto"/>
                <w:kern w:val="0"/>
                <w:szCs w:val="21"/>
                <w:highlight w:val="none"/>
              </w:rPr>
              <w:t xml:space="preserve">                                                                                                  </w:t>
            </w:r>
            <w:r>
              <w:rPr>
                <w:rFonts w:hint="eastAsia" w:ascii="Times New Roman" w:hAnsi="Times New Roman" w:eastAsia="仿宋_GB2312" w:cs="Times New Roman"/>
                <w:color w:val="auto"/>
                <w:kern w:val="0"/>
                <w:szCs w:val="21"/>
                <w:highlight w:val="none"/>
                <w:lang w:val="en-US" w:eastAsia="zh-CN"/>
              </w:rPr>
              <w:t xml:space="preserve">            </w:t>
            </w:r>
            <w:r>
              <w:rPr>
                <w:rFonts w:ascii="Times New Roman" w:hAnsi="Times New Roman" w:eastAsia="仿宋_GB2312" w:cs="Times New Roman"/>
                <w:color w:val="auto"/>
                <w:kern w:val="0"/>
                <w:szCs w:val="21"/>
                <w:highlight w:val="none"/>
              </w:rPr>
              <w:t xml:space="preserve">  </w:t>
            </w:r>
            <w:r>
              <w:rPr>
                <w:rFonts w:hint="eastAsia" w:ascii="Times New Roman" w:hAnsi="Times New Roman" w:eastAsia="仿宋_GB2312" w:cs="Times New Roman"/>
                <w:color w:val="auto"/>
                <w:kern w:val="0"/>
                <w:szCs w:val="21"/>
                <w:highlight w:val="none"/>
              </w:rPr>
              <w:t>公开06表</w:t>
            </w:r>
          </w:p>
          <w:p>
            <w:pPr>
              <w:widowControl/>
              <w:jc w:val="right"/>
              <w:rPr>
                <w:rFonts w:ascii="华文中宋" w:hAnsi="华文中宋" w:eastAsia="华文中宋" w:cs="宋体"/>
                <w:color w:val="auto"/>
                <w:kern w:val="0"/>
                <w:szCs w:val="32"/>
                <w:highlight w:val="none"/>
              </w:rPr>
            </w:pPr>
            <w:r>
              <w:rPr>
                <w:rFonts w:hint="eastAsia" w:ascii="Times New Roman" w:hAnsi="Times New Roman" w:eastAsia="仿宋_GB2312" w:cs="Times New Roman"/>
                <w:color w:val="auto"/>
                <w:kern w:val="0"/>
                <w:szCs w:val="21"/>
                <w:highlight w:val="none"/>
              </w:rPr>
              <w:t>单位：万元</w:t>
            </w:r>
          </w:p>
        </w:tc>
      </w:tr>
      <w:tr>
        <w:tblPrEx>
          <w:tblCellMar>
            <w:top w:w="0" w:type="dxa"/>
            <w:left w:w="108" w:type="dxa"/>
            <w:bottom w:w="0" w:type="dxa"/>
            <w:right w:w="108" w:type="dxa"/>
          </w:tblCellMar>
        </w:tblPrEx>
        <w:trPr>
          <w:trHeight w:val="113"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 w:val="20"/>
                <w:szCs w:val="20"/>
                <w:highlight w:val="none"/>
              </w:rPr>
              <w:t>经济分类科目编码</w:t>
            </w:r>
          </w:p>
        </w:tc>
        <w:tc>
          <w:tcPr>
            <w:tcW w:w="30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科目名称</w:t>
            </w:r>
          </w:p>
        </w:tc>
        <w:tc>
          <w:tcPr>
            <w:tcW w:w="11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决算数</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经济分类科目编码</w:t>
            </w:r>
          </w:p>
        </w:tc>
        <w:tc>
          <w:tcPr>
            <w:tcW w:w="21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科目名称</w:t>
            </w:r>
          </w:p>
        </w:tc>
        <w:tc>
          <w:tcPr>
            <w:tcW w:w="10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决算数</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经济分类科目编码</w:t>
            </w:r>
          </w:p>
        </w:tc>
        <w:tc>
          <w:tcPr>
            <w:tcW w:w="38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科目名称</w:t>
            </w:r>
          </w:p>
        </w:tc>
        <w:tc>
          <w:tcPr>
            <w:tcW w:w="10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决算数</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工资福利支出</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859.41</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商品和服务支出</w:t>
            </w:r>
          </w:p>
        </w:tc>
        <w:tc>
          <w:tcPr>
            <w:tcW w:w="100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93.29</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307</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债务利息及费用支出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30101</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基本工资</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267.96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30201</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办公费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4.73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30701</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国内债务付息</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30102</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津贴补贴</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50.79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30202</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印刷费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30702</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国外债务付息</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30103</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奖金</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1.95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30203</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咨询费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2.20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资本性支出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0.47</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30106</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伙食补助费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30204</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手续费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31001</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房屋建筑物购建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 w:val="21"/>
                <w:szCs w:val="20"/>
                <w:highlight w:val="none"/>
                <w:lang w:val="en-US" w:eastAsia="zh-CN" w:bidi="ar-SA"/>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30107</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绩效工资</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289.90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30205</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水费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2.31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31002</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办公设备购置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0.47</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30108</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机关事业单位基本养老保险缴费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82.25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30206</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电费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11.16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31003</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专用设备购置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30109</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职业年金缴费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30207</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邮电费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0.50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31005</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基础设施建设</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30110</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职工基本医疗保险缴费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56.08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30208</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取暖费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31006</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大型修缮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30111</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公务员医疗补助缴费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30209</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物业管理费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5.00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31007</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信息网络及软件购置更新</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30112</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其他社会保障缴费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19.38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30211</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差旅费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0.98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31008</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物资储备</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30113</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住房公积金</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91.13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30212</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因公出国（境）费用</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31009</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土地补偿</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30114</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医疗费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30213</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维修（护）费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5.05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31010</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安置补助</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30199</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其他工资福利支出</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30214</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租赁费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31011</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地上附着物和青苗补偿</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对个人和家庭的补助</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58.44</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30215</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会议费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31012</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拆迁补偿</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30301</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离休费</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30216</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培训费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1.37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31013</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公务用车购置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30302</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退休费</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17.00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30217</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公务接待费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31019</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其他交通工具购置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30303</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退职（役）费</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30218</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专用材料费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31021</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文物和陈列品购置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30304</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抚恤金</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30224</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被装购置费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31022</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无形资产购置</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30305</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生活补助</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30225</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专用燃料费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31099</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其他资本性支出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30306</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救济费</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30226</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劳务费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5.44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399</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其他支出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30307</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医疗费补助</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30227</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委托业务费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39906</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赠与</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30308</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助学金</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30228</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工会经费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20.00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39907</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国家赔偿费用支出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30309</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奖励金</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31.20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30229</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福利费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39908</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对民间非营利组织和群众性自治组织补贴</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30310</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个人农业生产补贴</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30231</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公务用车运行维护费</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1.00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39999</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其他支出</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highlight w:val="none"/>
              </w:rPr>
            </w:pPr>
            <w:r>
              <w:rPr>
                <w:rFonts w:hint="eastAsia" w:ascii="宋体" w:hAnsi="宋体" w:cs="宋体"/>
                <w:color w:val="auto"/>
                <w:kern w:val="0"/>
                <w:szCs w:val="20"/>
                <w:highlight w:val="none"/>
                <w:lang w:val="en-US" w:eastAsia="zh-CN"/>
              </w:rPr>
              <w:t>0.00</w:t>
            </w: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30311</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代缴社会保险费</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30239</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其他交通费用</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2.06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highlight w:val="none"/>
              </w:rPr>
            </w:pPr>
            <w:r>
              <w:rPr>
                <w:rFonts w:hint="eastAsia" w:ascii="宋体" w:hAnsi="宋体" w:eastAsia="宋体" w:cs="宋体"/>
                <w:color w:val="auto"/>
                <w:kern w:val="0"/>
                <w:szCs w:val="18"/>
                <w:highlight w:val="none"/>
              </w:rPr>
              <w:t>　</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highlight w:val="none"/>
              </w:rPr>
            </w:pPr>
            <w:r>
              <w:rPr>
                <w:rFonts w:hint="eastAsia" w:ascii="宋体" w:hAnsi="宋体" w:eastAsia="宋体" w:cs="宋体"/>
                <w:color w:val="auto"/>
                <w:kern w:val="0"/>
                <w:szCs w:val="18"/>
                <w:highlight w:val="none"/>
              </w:rPr>
              <w:t>　</w:t>
            </w:r>
          </w:p>
        </w:tc>
        <w:tc>
          <w:tcPr>
            <w:tcW w:w="10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30399</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其他对个人和家庭的补助</w:t>
            </w:r>
          </w:p>
        </w:tc>
        <w:tc>
          <w:tcPr>
            <w:tcW w:w="1108"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10.24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30240</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税金及附加费用</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0.00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highlight w:val="none"/>
              </w:rPr>
            </w:pPr>
            <w:r>
              <w:rPr>
                <w:rFonts w:hint="eastAsia" w:ascii="宋体" w:hAnsi="宋体" w:eastAsia="宋体" w:cs="宋体"/>
                <w:color w:val="auto"/>
                <w:kern w:val="0"/>
                <w:szCs w:val="18"/>
                <w:highlight w:val="none"/>
              </w:rPr>
              <w:t>　</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highlight w:val="none"/>
              </w:rPr>
            </w:pPr>
            <w:r>
              <w:rPr>
                <w:rFonts w:hint="eastAsia" w:ascii="宋体" w:hAnsi="宋体" w:eastAsia="宋体" w:cs="宋体"/>
                <w:color w:val="auto"/>
                <w:kern w:val="0"/>
                <w:szCs w:val="18"/>
                <w:highlight w:val="none"/>
              </w:rPr>
              <w:t>　</w:t>
            </w:r>
          </w:p>
        </w:tc>
        <w:tc>
          <w:tcPr>
            <w:tcW w:w="10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p>
        </w:tc>
      </w:tr>
      <w:tr>
        <w:tblPrEx>
          <w:tblCellMar>
            <w:top w:w="0" w:type="dxa"/>
            <w:left w:w="108" w:type="dxa"/>
            <w:bottom w:w="0" w:type="dxa"/>
            <w:right w:w="108" w:type="dxa"/>
          </w:tblCellMar>
        </w:tblPrEx>
        <w:trPr>
          <w:trHeight w:val="284" w:hRule="exact"/>
        </w:trPr>
        <w:tc>
          <w:tcPr>
            <w:tcW w:w="1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w:t>
            </w:r>
          </w:p>
        </w:tc>
        <w:tc>
          <w:tcPr>
            <w:tcW w:w="30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30299</w:t>
            </w:r>
          </w:p>
        </w:tc>
        <w:tc>
          <w:tcPr>
            <w:tcW w:w="210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 xml:space="preserve">  其他商品和服务支出</w:t>
            </w:r>
          </w:p>
        </w:tc>
        <w:tc>
          <w:tcPr>
            <w:tcW w:w="100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default" w:ascii="宋体" w:hAnsi="宋体" w:cs="宋体"/>
                <w:color w:val="auto"/>
                <w:kern w:val="0"/>
                <w:szCs w:val="20"/>
                <w:highlight w:val="none"/>
                <w:lang w:val="en-US" w:eastAsia="zh-CN"/>
              </w:rPr>
              <w:t xml:space="preserve">31.53 </w:t>
            </w:r>
          </w:p>
        </w:tc>
        <w:tc>
          <w:tcPr>
            <w:tcW w:w="11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highlight w:val="none"/>
              </w:rPr>
            </w:pPr>
            <w:r>
              <w:rPr>
                <w:rFonts w:hint="eastAsia" w:ascii="宋体" w:hAnsi="宋体" w:eastAsia="宋体" w:cs="宋体"/>
                <w:color w:val="auto"/>
                <w:kern w:val="0"/>
                <w:szCs w:val="18"/>
                <w:highlight w:val="none"/>
              </w:rPr>
              <w:t>　</w:t>
            </w:r>
          </w:p>
        </w:tc>
        <w:tc>
          <w:tcPr>
            <w:tcW w:w="381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18"/>
                <w:highlight w:val="none"/>
              </w:rPr>
            </w:pPr>
            <w:r>
              <w:rPr>
                <w:rFonts w:hint="eastAsia" w:ascii="宋体" w:hAnsi="宋体" w:eastAsia="宋体" w:cs="宋体"/>
                <w:color w:val="auto"/>
                <w:kern w:val="0"/>
                <w:szCs w:val="18"/>
                <w:highlight w:val="none"/>
              </w:rPr>
              <w:t>　</w:t>
            </w:r>
          </w:p>
        </w:tc>
        <w:tc>
          <w:tcPr>
            <w:tcW w:w="10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Cs w:val="20"/>
                <w:highlight w:val="none"/>
              </w:rPr>
            </w:pPr>
          </w:p>
        </w:tc>
      </w:tr>
      <w:tr>
        <w:tblPrEx>
          <w:tblCellMar>
            <w:top w:w="0" w:type="dxa"/>
            <w:left w:w="108" w:type="dxa"/>
            <w:bottom w:w="0" w:type="dxa"/>
            <w:right w:w="108" w:type="dxa"/>
          </w:tblCellMar>
        </w:tblPrEx>
        <w:trPr>
          <w:trHeight w:val="284" w:hRule="exact"/>
        </w:trPr>
        <w:tc>
          <w:tcPr>
            <w:tcW w:w="431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人员经费合计</w:t>
            </w:r>
          </w:p>
        </w:tc>
        <w:tc>
          <w:tcPr>
            <w:tcW w:w="110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cs="宋体"/>
                <w:color w:val="auto"/>
                <w:kern w:val="0"/>
                <w:szCs w:val="20"/>
                <w:highlight w:val="none"/>
                <w:lang w:val="en-US" w:eastAsia="zh-CN"/>
              </w:rPr>
            </w:pPr>
            <w:r>
              <w:rPr>
                <w:rFonts w:hint="eastAsia" w:ascii="宋体" w:hAnsi="宋体" w:cs="宋体"/>
                <w:color w:val="auto"/>
                <w:kern w:val="0"/>
                <w:szCs w:val="20"/>
                <w:highlight w:val="none"/>
                <w:lang w:val="en-US" w:eastAsia="zh-CN"/>
              </w:rPr>
              <w:t>917.85</w:t>
            </w:r>
          </w:p>
        </w:tc>
        <w:tc>
          <w:tcPr>
            <w:tcW w:w="9177"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0"/>
                <w:highlight w:val="none"/>
              </w:rPr>
            </w:pPr>
            <w:r>
              <w:rPr>
                <w:rFonts w:hint="eastAsia" w:ascii="宋体" w:hAnsi="宋体" w:eastAsia="宋体" w:cs="宋体"/>
                <w:color w:val="auto"/>
                <w:kern w:val="0"/>
                <w:szCs w:val="20"/>
                <w:highlight w:val="none"/>
              </w:rPr>
              <w:t>公用经费合计</w:t>
            </w:r>
          </w:p>
        </w:tc>
        <w:tc>
          <w:tcPr>
            <w:tcW w:w="10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cs="宋体"/>
                <w:i w:val="0"/>
                <w:iCs w:val="0"/>
                <w:color w:val="auto"/>
                <w:kern w:val="2"/>
                <w:sz w:val="22"/>
                <w:szCs w:val="22"/>
                <w:highlight w:val="none"/>
                <w:u w:val="none"/>
                <w:lang w:val="en-US" w:eastAsia="zh-CN" w:bidi="ar-SA"/>
              </w:rPr>
              <w:t>93.76</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auto"/>
                <w:kern w:val="0"/>
                <w:szCs w:val="24"/>
                <w:highlight w:val="none"/>
              </w:rPr>
            </w:pPr>
            <w:r>
              <w:rPr>
                <w:rFonts w:hint="eastAsia" w:ascii="宋体" w:hAnsi="宋体" w:eastAsia="宋体" w:cs="宋体"/>
                <w:color w:val="auto"/>
                <w:kern w:val="0"/>
                <w:szCs w:val="24"/>
                <w:highlight w:val="none"/>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690" w:hRule="atLeast"/>
        </w:trPr>
        <w:tc>
          <w:tcPr>
            <w:tcW w:w="15219"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auto"/>
                <w:kern w:val="0"/>
                <w:sz w:val="32"/>
                <w:szCs w:val="32"/>
                <w:highlight w:val="none"/>
                <w:u w:val="none"/>
                <w:lang w:val="en-US" w:eastAsia="zh-CN"/>
              </w:rPr>
            </w:pPr>
          </w:p>
          <w:p>
            <w:pPr>
              <w:keepNext w:val="0"/>
              <w:keepLines w:val="0"/>
              <w:widowControl/>
              <w:suppressLineNumbers w:val="0"/>
              <w:jc w:val="center"/>
              <w:textAlignment w:val="center"/>
              <w:rPr>
                <w:rFonts w:ascii="华文中宋" w:hAnsi="华文中宋" w:eastAsia="华文中宋" w:cs="华文中宋"/>
                <w:i w:val="0"/>
                <w:color w:val="auto"/>
                <w:sz w:val="32"/>
                <w:szCs w:val="32"/>
                <w:highlight w:val="none"/>
                <w:u w:val="none"/>
              </w:rPr>
            </w:pPr>
            <w:r>
              <w:rPr>
                <w:rFonts w:hint="eastAsia" w:ascii="华文中宋" w:hAnsi="华文中宋" w:eastAsia="华文中宋" w:cs="华文中宋"/>
                <w:i w:val="0"/>
                <w:color w:val="auto"/>
                <w:kern w:val="0"/>
                <w:sz w:val="32"/>
                <w:szCs w:val="32"/>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345" w:hRule="atLeast"/>
        </w:trPr>
        <w:tc>
          <w:tcPr>
            <w:tcW w:w="924" w:type="dxa"/>
            <w:tcBorders>
              <w:top w:val="nil"/>
              <w:left w:val="nil"/>
              <w:bottom w:val="nil"/>
              <w:right w:val="nil"/>
            </w:tcBorders>
            <w:shd w:val="clear" w:color="auto" w:fill="FFFFFF"/>
            <w:vAlign w:val="center"/>
          </w:tcPr>
          <w:p>
            <w:pPr>
              <w:jc w:val="center"/>
              <w:rPr>
                <w:rFonts w:hint="eastAsia" w:ascii="宋体" w:hAnsi="宋体" w:eastAsia="宋体" w:cs="宋体"/>
                <w:i w:val="0"/>
                <w:color w:val="auto"/>
                <w:sz w:val="20"/>
                <w:szCs w:val="20"/>
                <w:highlight w:val="none"/>
                <w:u w:val="none"/>
              </w:rPr>
            </w:pPr>
          </w:p>
        </w:tc>
        <w:tc>
          <w:tcPr>
            <w:tcW w:w="237" w:type="dxa"/>
            <w:tcBorders>
              <w:top w:val="nil"/>
              <w:left w:val="nil"/>
              <w:bottom w:val="nil"/>
              <w:right w:val="nil"/>
            </w:tcBorders>
            <w:shd w:val="clear" w:color="auto" w:fill="FFFFFF"/>
            <w:vAlign w:val="center"/>
          </w:tcPr>
          <w:p>
            <w:pPr>
              <w:jc w:val="center"/>
              <w:rPr>
                <w:rFonts w:hint="eastAsia" w:ascii="宋体" w:hAnsi="宋体" w:eastAsia="宋体" w:cs="宋体"/>
                <w:i w:val="0"/>
                <w:color w:val="auto"/>
                <w:sz w:val="20"/>
                <w:szCs w:val="20"/>
                <w:highlight w:val="none"/>
                <w:u w:val="none"/>
              </w:rPr>
            </w:pPr>
          </w:p>
        </w:tc>
        <w:tc>
          <w:tcPr>
            <w:tcW w:w="1284"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auto"/>
                <w:sz w:val="20"/>
                <w:szCs w:val="20"/>
                <w:highlight w:val="none"/>
                <w:u w:val="none"/>
              </w:rPr>
            </w:pPr>
          </w:p>
        </w:tc>
        <w:tc>
          <w:tcPr>
            <w:tcW w:w="1976" w:type="dxa"/>
            <w:gridSpan w:val="2"/>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409" w:type="dxa"/>
            <w:gridSpan w:val="3"/>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001" w:type="dxa"/>
            <w:gridSpan w:val="2"/>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281" w:type="dxa"/>
            <w:gridSpan w:val="3"/>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930"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177"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690" w:hRule="atLeast"/>
        </w:trPr>
        <w:tc>
          <w:tcPr>
            <w:tcW w:w="4421" w:type="dxa"/>
            <w:gridSpan w:val="6"/>
            <w:tcBorders>
              <w:top w:val="nil"/>
              <w:left w:val="nil"/>
              <w:bottom w:val="nil"/>
              <w:right w:val="nil"/>
            </w:tcBorders>
            <w:shd w:val="clear" w:color="auto" w:fill="FFFFFF"/>
            <w:noWrap/>
            <w:vAlign w:val="center"/>
          </w:tcPr>
          <w:p>
            <w:pP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rPr>
              <w:t>部门：湖南省</w:t>
            </w:r>
            <w:r>
              <w:rPr>
                <w:rFonts w:hint="eastAsia" w:ascii="宋体" w:hAnsi="宋体" w:cs="宋体"/>
                <w:i w:val="0"/>
                <w:color w:val="auto"/>
                <w:kern w:val="0"/>
                <w:sz w:val="20"/>
                <w:szCs w:val="20"/>
                <w:highlight w:val="none"/>
                <w:u w:val="none"/>
                <w:lang w:val="en-US" w:eastAsia="zh-CN"/>
              </w:rPr>
              <w:t>少年儿童图书馆</w:t>
            </w:r>
          </w:p>
        </w:tc>
        <w:tc>
          <w:tcPr>
            <w:tcW w:w="2409" w:type="dxa"/>
            <w:gridSpan w:val="3"/>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001" w:type="dxa"/>
            <w:gridSpan w:val="2"/>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281" w:type="dxa"/>
            <w:gridSpan w:val="3"/>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930"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2177"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459" w:hRule="atLeast"/>
        </w:trPr>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 xml:space="preserve">项 </w:t>
            </w:r>
            <w:r>
              <w:rPr>
                <w:rStyle w:val="18"/>
                <w:color w:val="auto"/>
                <w:highlight w:val="none"/>
                <w:lang w:val="en-US" w:eastAsia="zh-CN"/>
              </w:rPr>
              <w:t xml:space="preserve">   </w:t>
            </w:r>
            <w:r>
              <w:rPr>
                <w:rStyle w:val="19"/>
                <w:color w:val="auto"/>
                <w:highlight w:val="none"/>
                <w:lang w:val="en-US" w:eastAsia="zh-CN"/>
              </w:rPr>
              <w:t>目</w:t>
            </w:r>
          </w:p>
        </w:tc>
        <w:tc>
          <w:tcPr>
            <w:tcW w:w="19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年初结转和结余</w:t>
            </w:r>
          </w:p>
        </w:tc>
        <w:tc>
          <w:tcPr>
            <w:tcW w:w="24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本年收入</w:t>
            </w:r>
          </w:p>
        </w:tc>
        <w:tc>
          <w:tcPr>
            <w:tcW w:w="62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本年支出</w:t>
            </w:r>
          </w:p>
        </w:tc>
        <w:tc>
          <w:tcPr>
            <w:tcW w:w="21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609" w:hRule="atLeast"/>
        </w:trPr>
        <w:tc>
          <w:tcPr>
            <w:tcW w:w="11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科目代码</w:t>
            </w:r>
          </w:p>
        </w:tc>
        <w:tc>
          <w:tcPr>
            <w:tcW w:w="12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科目名称</w:t>
            </w:r>
          </w:p>
        </w:tc>
        <w:tc>
          <w:tcPr>
            <w:tcW w:w="19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4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0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小计</w:t>
            </w:r>
          </w:p>
        </w:tc>
        <w:tc>
          <w:tcPr>
            <w:tcW w:w="22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 xml:space="preserve">基本支出  </w:t>
            </w:r>
          </w:p>
        </w:tc>
        <w:tc>
          <w:tcPr>
            <w:tcW w:w="1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项目支出</w:t>
            </w:r>
          </w:p>
        </w:tc>
        <w:tc>
          <w:tcPr>
            <w:tcW w:w="21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409" w:hRule="atLeast"/>
        </w:trPr>
        <w:tc>
          <w:tcPr>
            <w:tcW w:w="11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4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0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1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4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0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1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栏次</w:t>
            </w: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1</w:t>
            </w: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2</w:t>
            </w: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3</w:t>
            </w: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4</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5</w:t>
            </w: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合计</w:t>
            </w: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lang w:val="en-US" w:eastAsia="zh-CN"/>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0"/>
                <w:szCs w:val="20"/>
                <w:highlight w:val="none"/>
                <w:u w:val="none"/>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highlight w:val="none"/>
                <w:u w:val="none"/>
                <w:lang w:val="en-US" w:eastAsia="zh-CN"/>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0"/>
                <w:szCs w:val="20"/>
                <w:highlight w:val="none"/>
                <w:u w:val="none"/>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509" w:hRule="atLeast"/>
        </w:trPr>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5" w:type="dxa"/>
          <w:trHeight w:val="725" w:hRule="atLeast"/>
        </w:trPr>
        <w:tc>
          <w:tcPr>
            <w:tcW w:w="15219"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color w:val="auto"/>
                <w:kern w:val="0"/>
                <w:sz w:val="24"/>
                <w:szCs w:val="24"/>
                <w:highlight w:val="none"/>
                <w:u w:val="none"/>
                <w:lang w:val="en-US" w:eastAsia="zh-CN"/>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p>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楷体" w:hAnsi="楷体" w:eastAsia="楷体" w:cs="楷体"/>
                <w:b/>
                <w:bCs/>
                <w:i w:val="0"/>
                <w:color w:val="auto"/>
                <w:kern w:val="0"/>
                <w:sz w:val="24"/>
                <w:szCs w:val="24"/>
                <w:highlight w:val="none"/>
                <w:u w:val="none"/>
                <w:lang w:val="en-US" w:eastAsia="zh-CN"/>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auto"/>
          <w:kern w:val="0"/>
          <w:sz w:val="36"/>
          <w:szCs w:val="36"/>
          <w:highlight w:val="none"/>
        </w:rPr>
      </w:pPr>
    </w:p>
    <w:p>
      <w:pPr>
        <w:widowControl/>
        <w:jc w:val="center"/>
        <w:rPr>
          <w:rFonts w:hint="eastAsia" w:ascii="Times New Roman" w:hAnsi="Times New Roman" w:eastAsia="方正小标宋_GBK" w:cs="Times New Roman"/>
          <w:color w:val="auto"/>
          <w:kern w:val="0"/>
          <w:sz w:val="36"/>
          <w:szCs w:val="36"/>
          <w:highlight w:val="none"/>
        </w:rPr>
      </w:pPr>
    </w:p>
    <w:tbl>
      <w:tblPr>
        <w:tblStyle w:val="10"/>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auto"/>
                <w:sz w:val="32"/>
                <w:szCs w:val="32"/>
                <w:highlight w:val="none"/>
                <w:u w:val="none"/>
              </w:rPr>
            </w:pPr>
            <w:r>
              <w:rPr>
                <w:rFonts w:hint="eastAsia" w:ascii="华文中宋" w:hAnsi="华文中宋" w:eastAsia="华文中宋" w:cs="华文中宋"/>
                <w:i w:val="0"/>
                <w:color w:val="auto"/>
                <w:kern w:val="0"/>
                <w:sz w:val="32"/>
                <w:szCs w:val="32"/>
                <w:highlight w:val="none"/>
                <w:u w:val="none"/>
                <w:lang w:val="en-US" w:eastAsia="zh-CN"/>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auto"/>
                <w:sz w:val="20"/>
                <w:szCs w:val="20"/>
                <w:highlight w:val="none"/>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auto"/>
                <w:sz w:val="20"/>
                <w:szCs w:val="20"/>
                <w:highlight w:val="none"/>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auto"/>
                <w:sz w:val="20"/>
                <w:szCs w:val="20"/>
                <w:highlight w:val="none"/>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4319" w:type="dxa"/>
            <w:gridSpan w:val="3"/>
            <w:tcBorders>
              <w:top w:val="nil"/>
              <w:left w:val="nil"/>
              <w:bottom w:val="nil"/>
              <w:right w:val="nil"/>
            </w:tcBorders>
            <w:shd w:val="clear" w:color="auto" w:fill="FFFFFF"/>
            <w:noWrap/>
            <w:vAlign w:val="center"/>
          </w:tcPr>
          <w:p>
            <w:pPr>
              <w:jc w:val="left"/>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rPr>
              <w:t>部门：湖南省</w:t>
            </w:r>
            <w:r>
              <w:rPr>
                <w:rFonts w:hint="eastAsia" w:ascii="宋体" w:hAnsi="宋体" w:cs="宋体"/>
                <w:i w:val="0"/>
                <w:color w:val="auto"/>
                <w:kern w:val="0"/>
                <w:sz w:val="20"/>
                <w:szCs w:val="20"/>
                <w:highlight w:val="none"/>
                <w:u w:val="none"/>
                <w:lang w:val="en-US" w:eastAsia="zh-CN"/>
              </w:rPr>
              <w:t>少年儿童图书馆</w:t>
            </w: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 xml:space="preserve">项 </w:t>
            </w:r>
            <w:r>
              <w:rPr>
                <w:rFonts w:hint="eastAsia" w:ascii="宋体" w:hAnsi="宋体" w:eastAsia="宋体" w:cs="宋体"/>
                <w:i w:val="0"/>
                <w:color w:val="auto"/>
                <w:kern w:val="0"/>
                <w:sz w:val="22"/>
                <w:szCs w:val="22"/>
                <w:highlight w:val="none"/>
                <w:u w:val="none"/>
                <w:lang w:val="en-US" w:eastAsia="zh-CN"/>
              </w:rPr>
              <w:t xml:space="preserve">   </w:t>
            </w:r>
            <w:r>
              <w:rPr>
                <w:rStyle w:val="20"/>
                <w:color w:val="auto"/>
                <w:highlight w:val="none"/>
                <w:lang w:val="en-US" w:eastAsia="zh-CN"/>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0"/>
                <w:szCs w:val="20"/>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0"/>
                <w:szCs w:val="20"/>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4"/>
                <w:szCs w:val="24"/>
                <w:highlight w:val="none"/>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宋体" w:hAnsi="宋体" w:eastAsia="宋体" w:cs="宋体"/>
                <w:i w:val="0"/>
                <w:color w:val="auto"/>
                <w:kern w:val="0"/>
                <w:sz w:val="24"/>
                <w:szCs w:val="24"/>
                <w:highlight w:val="none"/>
                <w:u w:val="none"/>
                <w:lang w:val="en-US" w:eastAsia="zh-CN"/>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p>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rPr>
            </w:pPr>
            <w:r>
              <w:rPr>
                <w:rFonts w:hint="eastAsia" w:ascii="楷体" w:hAnsi="楷体" w:eastAsia="楷体" w:cs="楷体"/>
                <w:b/>
                <w:bCs/>
                <w:i w:val="0"/>
                <w:color w:val="auto"/>
                <w:kern w:val="0"/>
                <w:sz w:val="24"/>
                <w:szCs w:val="24"/>
                <w:highlight w:val="none"/>
                <w:u w:val="none"/>
                <w:lang w:val="en-US" w:eastAsia="zh-CN"/>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auto"/>
          <w:kern w:val="0"/>
          <w:sz w:val="36"/>
          <w:szCs w:val="36"/>
          <w:highlight w:val="none"/>
        </w:rPr>
      </w:pPr>
    </w:p>
    <w:tbl>
      <w:tblPr>
        <w:tblStyle w:val="10"/>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auto"/>
                <w:kern w:val="0"/>
                <w:sz w:val="32"/>
                <w:szCs w:val="32"/>
                <w:highlight w:val="none"/>
                <w:u w:val="none"/>
                <w:lang w:val="en-US" w:eastAsia="zh-CN"/>
              </w:rPr>
            </w:pPr>
          </w:p>
          <w:p>
            <w:pPr>
              <w:keepNext w:val="0"/>
              <w:keepLines w:val="0"/>
              <w:widowControl/>
              <w:suppressLineNumbers w:val="0"/>
              <w:jc w:val="center"/>
              <w:textAlignment w:val="center"/>
              <w:rPr>
                <w:rFonts w:ascii="华文中宋" w:hAnsi="华文中宋" w:eastAsia="华文中宋" w:cs="华文中宋"/>
                <w:i w:val="0"/>
                <w:color w:val="auto"/>
                <w:sz w:val="32"/>
                <w:szCs w:val="32"/>
                <w:highlight w:val="none"/>
                <w:u w:val="none"/>
              </w:rPr>
            </w:pPr>
            <w:r>
              <w:rPr>
                <w:rFonts w:hint="eastAsia" w:ascii="华文中宋" w:hAnsi="华文中宋" w:eastAsia="华文中宋" w:cs="华文中宋"/>
                <w:i w:val="0"/>
                <w:color w:val="auto"/>
                <w:kern w:val="0"/>
                <w:sz w:val="32"/>
                <w:szCs w:val="32"/>
                <w:highlight w:val="none"/>
                <w:u w:val="none"/>
                <w:lang w:val="en-US" w:eastAsia="zh-CN"/>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82" w:type="dxa"/>
            <w:gridSpan w:val="3"/>
            <w:tcBorders>
              <w:top w:val="nil"/>
              <w:left w:val="nil"/>
              <w:bottom w:val="nil"/>
              <w:right w:val="nil"/>
            </w:tcBorders>
            <w:shd w:val="clear" w:color="auto" w:fill="FFFFFF"/>
            <w:noWrap/>
            <w:vAlign w:val="center"/>
          </w:tcPr>
          <w:p>
            <w:pP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rPr>
              <w:t>部门：湖南省</w:t>
            </w:r>
            <w:r>
              <w:rPr>
                <w:rFonts w:hint="eastAsia" w:ascii="宋体" w:hAnsi="宋体" w:cs="宋体"/>
                <w:i w:val="0"/>
                <w:color w:val="auto"/>
                <w:kern w:val="0"/>
                <w:sz w:val="20"/>
                <w:szCs w:val="20"/>
                <w:highlight w:val="none"/>
                <w:u w:val="none"/>
                <w:lang w:val="en-US" w:eastAsia="zh-CN"/>
              </w:rPr>
              <w:t>少年儿童图书馆</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auto"/>
                <w:sz w:val="20"/>
                <w:szCs w:val="20"/>
                <w:highlight w:val="none"/>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w:t>
            </w:r>
            <w:r>
              <w:rPr>
                <w:rFonts w:hint="eastAsia" w:ascii="宋体" w:hAnsi="宋体" w:eastAsia="宋体" w:cs="宋体"/>
                <w:i w:val="0"/>
                <w:color w:val="auto"/>
                <w:kern w:val="0"/>
                <w:sz w:val="22"/>
                <w:szCs w:val="22"/>
                <w:highlight w:val="none"/>
                <w:u w:val="none"/>
                <w:lang w:val="en-US" w:eastAsia="zh-CN"/>
              </w:rPr>
              <w:br w:type="textWrapping"/>
            </w:r>
            <w:r>
              <w:rPr>
                <w:rFonts w:hint="eastAsia" w:ascii="宋体" w:hAnsi="宋体" w:eastAsia="宋体" w:cs="宋体"/>
                <w:i w:val="0"/>
                <w:color w:val="auto"/>
                <w:kern w:val="0"/>
                <w:sz w:val="22"/>
                <w:szCs w:val="22"/>
                <w:highlight w:val="none"/>
                <w:u w:val="none"/>
                <w:lang w:val="en-US" w:eastAsia="zh-CN"/>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w:t>
            </w:r>
            <w:r>
              <w:rPr>
                <w:rFonts w:hint="eastAsia" w:ascii="宋体" w:hAnsi="宋体" w:eastAsia="宋体" w:cs="宋体"/>
                <w:i w:val="0"/>
                <w:color w:val="auto"/>
                <w:kern w:val="0"/>
                <w:sz w:val="22"/>
                <w:szCs w:val="22"/>
                <w:highlight w:val="none"/>
                <w:u w:val="none"/>
                <w:lang w:val="en-US" w:eastAsia="zh-CN"/>
              </w:rPr>
              <w:br w:type="textWrapping"/>
            </w:r>
            <w:r>
              <w:rPr>
                <w:rFonts w:hint="eastAsia" w:ascii="宋体" w:hAnsi="宋体" w:eastAsia="宋体" w:cs="宋体"/>
                <w:i w:val="0"/>
                <w:color w:val="auto"/>
                <w:kern w:val="0"/>
                <w:sz w:val="22"/>
                <w:szCs w:val="22"/>
                <w:highlight w:val="none"/>
                <w:u w:val="none"/>
                <w:lang w:val="en-US" w:eastAsia="zh-CN"/>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w:t>
            </w:r>
            <w:r>
              <w:rPr>
                <w:rFonts w:hint="eastAsia" w:ascii="宋体" w:hAnsi="宋体" w:eastAsia="宋体" w:cs="宋体"/>
                <w:i w:val="0"/>
                <w:color w:val="auto"/>
                <w:kern w:val="0"/>
                <w:sz w:val="22"/>
                <w:szCs w:val="22"/>
                <w:highlight w:val="none"/>
                <w:u w:val="none"/>
                <w:lang w:val="en-US" w:eastAsia="zh-CN"/>
              </w:rPr>
              <w:br w:type="textWrapping"/>
            </w:r>
            <w:r>
              <w:rPr>
                <w:rFonts w:hint="eastAsia" w:ascii="宋体" w:hAnsi="宋体" w:eastAsia="宋体" w:cs="宋体"/>
                <w:i w:val="0"/>
                <w:color w:val="auto"/>
                <w:kern w:val="0"/>
                <w:sz w:val="22"/>
                <w:szCs w:val="22"/>
                <w:highlight w:val="none"/>
                <w:u w:val="none"/>
                <w:lang w:val="en-US" w:eastAsia="zh-CN"/>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公务用车</w:t>
            </w:r>
            <w:r>
              <w:rPr>
                <w:rFonts w:hint="eastAsia" w:ascii="宋体" w:hAnsi="宋体" w:eastAsia="宋体" w:cs="宋体"/>
                <w:i w:val="0"/>
                <w:color w:val="auto"/>
                <w:kern w:val="0"/>
                <w:sz w:val="22"/>
                <w:szCs w:val="22"/>
                <w:highlight w:val="none"/>
                <w:u w:val="none"/>
                <w:lang w:val="en-US" w:eastAsia="zh-CN"/>
              </w:rPr>
              <w:br w:type="textWrapping"/>
            </w:r>
            <w:r>
              <w:rPr>
                <w:rFonts w:hint="eastAsia" w:ascii="宋体" w:hAnsi="宋体" w:eastAsia="宋体" w:cs="宋体"/>
                <w:i w:val="0"/>
                <w:color w:val="auto"/>
                <w:kern w:val="0"/>
                <w:sz w:val="22"/>
                <w:szCs w:val="22"/>
                <w:highlight w:val="none"/>
                <w:u w:val="none"/>
                <w:lang w:val="en-US" w:eastAsia="zh-CN"/>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iCs w:val="0"/>
                <w:color w:val="auto"/>
                <w:kern w:val="0"/>
                <w:sz w:val="22"/>
                <w:szCs w:val="22"/>
                <w:highlight w:val="none"/>
                <w:u w:val="none"/>
                <w:lang w:val="en-US" w:eastAsia="zh-CN"/>
              </w:rPr>
              <w:t>32.50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iCs w:val="0"/>
                <w:color w:val="auto"/>
                <w:kern w:val="0"/>
                <w:sz w:val="22"/>
                <w:szCs w:val="22"/>
                <w:highlight w:val="none"/>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cs="宋体"/>
                <w:i w:val="0"/>
                <w:iCs w:val="0"/>
                <w:color w:val="auto"/>
                <w:kern w:val="0"/>
                <w:sz w:val="22"/>
                <w:szCs w:val="22"/>
                <w:highlight w:val="none"/>
                <w:u w:val="none"/>
                <w:lang w:val="en-US" w:eastAsia="zh-CN"/>
              </w:rPr>
              <w:t>32.00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iCs w:val="0"/>
                <w:color w:val="auto"/>
                <w:kern w:val="0"/>
                <w:sz w:val="22"/>
                <w:szCs w:val="22"/>
                <w:highlight w:val="none"/>
                <w:u w:val="none"/>
                <w:lang w:val="en-US" w:eastAsia="zh-CN"/>
              </w:rPr>
              <w:t>30.00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iCs w:val="0"/>
                <w:color w:val="auto"/>
                <w:kern w:val="0"/>
                <w:sz w:val="22"/>
                <w:szCs w:val="22"/>
                <w:highlight w:val="none"/>
                <w:u w:val="none"/>
                <w:lang w:val="en-US" w:eastAsia="zh-CN"/>
              </w:rPr>
              <w:t>2.00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iCs w:val="0"/>
                <w:color w:val="auto"/>
                <w:kern w:val="0"/>
                <w:sz w:val="22"/>
                <w:szCs w:val="22"/>
                <w:highlight w:val="none"/>
                <w:u w:val="none"/>
                <w:lang w:val="en-US" w:eastAsia="zh-CN"/>
              </w:rPr>
              <w:t>0.50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30.84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30.75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29.37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1.38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color w:val="auto"/>
          <w:kern w:val="0"/>
          <w:sz w:val="24"/>
          <w:szCs w:val="24"/>
          <w:highlight w:val="none"/>
        </w:rPr>
      </w:pPr>
    </w:p>
    <w:p>
      <w:pPr>
        <w:autoSpaceDE w:val="0"/>
        <w:autoSpaceDN w:val="0"/>
        <w:adjustRightInd w:val="0"/>
        <w:ind w:left="315" w:leftChars="150"/>
        <w:jc w:val="left"/>
        <w:rPr>
          <w:rFonts w:ascii="宋体" w:eastAsia="宋体" w:cs="宋体"/>
          <w:color w:val="auto"/>
          <w:kern w:val="0"/>
          <w:sz w:val="24"/>
          <w:szCs w:val="24"/>
          <w:highlight w:val="none"/>
        </w:rPr>
      </w:pPr>
    </w:p>
    <w:p>
      <w:pPr>
        <w:autoSpaceDE w:val="0"/>
        <w:autoSpaceDN w:val="0"/>
        <w:adjustRightInd w:val="0"/>
        <w:ind w:left="315" w:leftChars="150"/>
        <w:jc w:val="left"/>
        <w:rPr>
          <w:rFonts w:ascii="宋体" w:eastAsia="宋体" w:cs="宋体"/>
          <w:color w:val="auto"/>
          <w:kern w:val="0"/>
          <w:sz w:val="24"/>
          <w:szCs w:val="24"/>
          <w:highlight w:val="none"/>
        </w:rPr>
      </w:pPr>
    </w:p>
    <w:p>
      <w:pPr>
        <w:autoSpaceDE w:val="0"/>
        <w:autoSpaceDN w:val="0"/>
        <w:adjustRightInd w:val="0"/>
        <w:ind w:left="315" w:leftChars="150"/>
        <w:jc w:val="left"/>
        <w:rPr>
          <w:rFonts w:ascii="宋体" w:eastAsia="宋体" w:cs="宋体"/>
          <w:color w:val="auto"/>
          <w:kern w:val="0"/>
          <w:sz w:val="24"/>
          <w:szCs w:val="24"/>
          <w:highlight w:val="none"/>
        </w:rPr>
      </w:pPr>
    </w:p>
    <w:p>
      <w:pPr>
        <w:autoSpaceDE w:val="0"/>
        <w:autoSpaceDN w:val="0"/>
        <w:adjustRightInd w:val="0"/>
        <w:ind w:left="315" w:leftChars="150"/>
        <w:jc w:val="left"/>
        <w:rPr>
          <w:rFonts w:ascii="宋体" w:eastAsia="宋体" w:cs="宋体"/>
          <w:color w:val="auto"/>
          <w:kern w:val="0"/>
          <w:sz w:val="24"/>
          <w:szCs w:val="24"/>
          <w:highlight w:val="none"/>
        </w:rPr>
      </w:pPr>
    </w:p>
    <w:p>
      <w:pPr>
        <w:widowControl/>
        <w:jc w:val="both"/>
        <w:rPr>
          <w:color w:val="auto"/>
          <w:sz w:val="72"/>
          <w:szCs w:val="72"/>
          <w:highlight w:val="none"/>
        </w:rPr>
        <w:sectPr>
          <w:pgSz w:w="16838" w:h="11906" w:orient="landscape"/>
          <w:pgMar w:top="720" w:right="720" w:bottom="720" w:left="720" w:header="851" w:footer="992" w:gutter="0"/>
          <w:cols w:space="425" w:num="1"/>
          <w:docGrid w:type="lines" w:linePitch="312" w:charSpace="0"/>
        </w:sectPr>
      </w:pPr>
      <w:r>
        <w:rPr>
          <w:color w:val="auto"/>
          <w:highlight w:val="none"/>
        </w:rPr>
        <w:br w:type="page"/>
      </w:r>
    </w:p>
    <w:p>
      <w:pPr>
        <w:pStyle w:val="15"/>
        <w:rPr>
          <w:color w:val="auto"/>
          <w:sz w:val="72"/>
          <w:szCs w:val="72"/>
          <w:highlight w:val="none"/>
        </w:rPr>
      </w:pPr>
    </w:p>
    <w:p>
      <w:pPr>
        <w:pStyle w:val="15"/>
        <w:rPr>
          <w:color w:val="auto"/>
          <w:sz w:val="72"/>
          <w:szCs w:val="72"/>
          <w:highlight w:val="none"/>
        </w:rPr>
      </w:pPr>
    </w:p>
    <w:p>
      <w:pPr>
        <w:pStyle w:val="15"/>
        <w:jc w:val="center"/>
        <w:rPr>
          <w:color w:val="auto"/>
          <w:sz w:val="72"/>
          <w:szCs w:val="72"/>
          <w:highlight w:val="none"/>
        </w:rPr>
      </w:pPr>
    </w:p>
    <w:p>
      <w:pPr>
        <w:pStyle w:val="15"/>
        <w:jc w:val="center"/>
        <w:rPr>
          <w:rFonts w:hint="eastAsia" w:ascii="方正小标宋_GBK" w:hAnsi="方正小标宋_GBK" w:eastAsia="方正小标宋_GBK" w:cs="方正小标宋_GBK"/>
          <w:color w:val="auto"/>
          <w:sz w:val="72"/>
          <w:szCs w:val="72"/>
          <w:highlight w:val="none"/>
        </w:rPr>
      </w:pPr>
    </w:p>
    <w:p>
      <w:pPr>
        <w:pStyle w:val="15"/>
        <w:jc w:val="center"/>
        <w:rPr>
          <w:rFonts w:hint="eastAsia" w:ascii="方正小标宋_GBK" w:hAnsi="方正小标宋_GBK" w:eastAsia="方正小标宋_GBK" w:cs="方正小标宋_GBK"/>
          <w:color w:val="auto"/>
          <w:sz w:val="72"/>
          <w:szCs w:val="72"/>
          <w:highlight w:val="none"/>
        </w:rPr>
      </w:pPr>
      <w:r>
        <w:rPr>
          <w:rFonts w:hint="eastAsia" w:ascii="方正小标宋_GBK" w:hAnsi="方正小标宋_GBK" w:eastAsia="方正小标宋_GBK" w:cs="方正小标宋_GBK"/>
          <w:color w:val="auto"/>
          <w:sz w:val="72"/>
          <w:szCs w:val="72"/>
          <w:highlight w:val="none"/>
        </w:rPr>
        <w:t>第三部分</w:t>
      </w:r>
    </w:p>
    <w:p>
      <w:pPr>
        <w:pStyle w:val="15"/>
        <w:jc w:val="center"/>
        <w:rPr>
          <w:rFonts w:hint="eastAsia" w:ascii="方正小标宋_GBK" w:hAnsi="方正小标宋_GBK" w:eastAsia="方正小标宋_GBK" w:cs="方正小标宋_GBK"/>
          <w:color w:val="auto"/>
          <w:sz w:val="70"/>
          <w:szCs w:val="70"/>
          <w:highlight w:val="none"/>
        </w:rPr>
      </w:pPr>
    </w:p>
    <w:p>
      <w:pPr>
        <w:pStyle w:val="15"/>
        <w:jc w:val="center"/>
        <w:rPr>
          <w:rFonts w:hint="eastAsia" w:ascii="方正小标宋_GBK" w:hAnsi="方正小标宋_GBK" w:eastAsia="方正小标宋_GBK" w:cs="方正小标宋_GBK"/>
          <w:color w:val="auto"/>
          <w:sz w:val="70"/>
          <w:szCs w:val="70"/>
          <w:highlight w:val="none"/>
        </w:rPr>
      </w:pPr>
      <w:r>
        <w:rPr>
          <w:rFonts w:hint="eastAsia" w:ascii="方正小标宋_GBK" w:hAnsi="方正小标宋_GBK" w:eastAsia="方正小标宋_GBK" w:cs="方正小标宋_GBK"/>
          <w:color w:val="auto"/>
          <w:sz w:val="70"/>
          <w:szCs w:val="70"/>
          <w:highlight w:val="none"/>
        </w:rPr>
        <w:t>202</w:t>
      </w:r>
      <w:r>
        <w:rPr>
          <w:rFonts w:hint="eastAsia" w:ascii="方正小标宋_GBK" w:hAnsi="方正小标宋_GBK" w:eastAsia="方正小标宋_GBK" w:cs="方正小标宋_GBK"/>
          <w:color w:val="auto"/>
          <w:sz w:val="70"/>
          <w:szCs w:val="70"/>
          <w:highlight w:val="none"/>
          <w:lang w:val="en-US" w:eastAsia="zh-CN"/>
        </w:rPr>
        <w:t>2</w:t>
      </w:r>
      <w:r>
        <w:rPr>
          <w:rFonts w:hint="eastAsia" w:ascii="方正小标宋_GBK" w:hAnsi="方正小标宋_GBK" w:eastAsia="方正小标宋_GBK" w:cs="方正小标宋_GBK"/>
          <w:color w:val="auto"/>
          <w:sz w:val="70"/>
          <w:szCs w:val="70"/>
          <w:highlight w:val="none"/>
        </w:rPr>
        <w:t>年度</w:t>
      </w:r>
      <w:r>
        <w:rPr>
          <w:rFonts w:hint="eastAsia" w:ascii="方正小标宋_GBK" w:hAnsi="方正小标宋_GBK" w:eastAsia="方正小标宋_GBK" w:cs="方正小标宋_GBK"/>
          <w:color w:val="auto"/>
          <w:sz w:val="70"/>
          <w:szCs w:val="70"/>
          <w:highlight w:val="none"/>
          <w:lang w:val="en-US" w:eastAsia="zh-CN"/>
        </w:rPr>
        <w:t>单位</w:t>
      </w:r>
      <w:r>
        <w:rPr>
          <w:rFonts w:hint="eastAsia" w:ascii="方正小标宋_GBK" w:hAnsi="方正小标宋_GBK" w:eastAsia="方正小标宋_GBK" w:cs="方正小标宋_GBK"/>
          <w:color w:val="auto"/>
          <w:sz w:val="70"/>
          <w:szCs w:val="70"/>
          <w:highlight w:val="none"/>
        </w:rPr>
        <w:t>决算情况说明</w:t>
      </w:r>
    </w:p>
    <w:p>
      <w:pPr>
        <w:widowControl/>
        <w:jc w:val="left"/>
        <w:rPr>
          <w:rFonts w:ascii="宋体" w:hAnsi="宋体" w:eastAsia="宋体"/>
          <w:color w:val="auto"/>
          <w:sz w:val="32"/>
          <w:szCs w:val="32"/>
          <w:highlight w:val="none"/>
        </w:rPr>
      </w:pPr>
      <w:r>
        <w:rPr>
          <w:color w:val="auto"/>
          <w:highlight w:val="none"/>
        </w:rPr>
        <w:br w:type="page"/>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一、收入支出决算总体情况说明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年度收、支总计</w:t>
      </w:r>
      <w:r>
        <w:rPr>
          <w:rFonts w:hint="eastAsia" w:ascii="Times New Roman" w:hAnsi="Times New Roman" w:eastAsia="仿宋_GB2312"/>
          <w:color w:val="auto"/>
          <w:sz w:val="32"/>
          <w:szCs w:val="32"/>
          <w:highlight w:val="none"/>
          <w:lang w:val="en-US" w:eastAsia="zh-CN"/>
        </w:rPr>
        <w:t>4646.61</w:t>
      </w:r>
      <w:r>
        <w:rPr>
          <w:rFonts w:hint="eastAsia" w:ascii="Times New Roman" w:hAnsi="Times New Roman" w:eastAsia="仿宋_GB2312"/>
          <w:color w:val="auto"/>
          <w:sz w:val="32"/>
          <w:szCs w:val="32"/>
          <w:highlight w:val="none"/>
        </w:rPr>
        <w:t>万元。与上年相比，增加</w:t>
      </w:r>
      <w:r>
        <w:rPr>
          <w:rFonts w:hint="eastAsia" w:ascii="Times New Roman" w:hAnsi="Times New Roman" w:eastAsia="仿宋_GB2312"/>
          <w:color w:val="auto"/>
          <w:sz w:val="32"/>
          <w:szCs w:val="32"/>
          <w:highlight w:val="none"/>
          <w:lang w:val="en-US" w:eastAsia="zh-CN"/>
        </w:rPr>
        <w:t>877.79</w:t>
      </w:r>
      <w:r>
        <w:rPr>
          <w:rFonts w:hint="eastAsia" w:ascii="Times New Roman" w:hAnsi="Times New Roman"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23.29</w:t>
      </w:r>
      <w:r>
        <w:rPr>
          <w:rFonts w:hint="eastAsia" w:ascii="Times New Roman" w:hAnsi="Times New Roman" w:eastAsia="仿宋_GB2312"/>
          <w:color w:val="auto"/>
          <w:sz w:val="32"/>
          <w:szCs w:val="32"/>
          <w:highlight w:val="none"/>
        </w:rPr>
        <w:t>%，主要是因为</w:t>
      </w:r>
      <w:r>
        <w:rPr>
          <w:rFonts w:hint="eastAsia" w:ascii="Times New Roman" w:hAnsi="Times New Roman" w:eastAsia="仿宋_GB2312"/>
          <w:color w:val="auto"/>
          <w:sz w:val="32"/>
          <w:szCs w:val="32"/>
          <w:highlight w:val="none"/>
          <w:lang w:eastAsia="zh-CN"/>
        </w:rPr>
        <w:t>财政拨款收入增加，收支相抵后总计增加</w:t>
      </w:r>
      <w:r>
        <w:rPr>
          <w:rFonts w:hint="eastAsia" w:ascii="Times New Roman" w:hAnsi="Times New Roman" w:eastAsia="仿宋_GB2312"/>
          <w:color w:val="auto"/>
          <w:sz w:val="32"/>
          <w:szCs w:val="32"/>
          <w:highlight w:val="none"/>
          <w:lang w:val="en-US" w:eastAsia="zh-CN"/>
        </w:rPr>
        <w:t>478.11万元。</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二、收入决算情况说明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年度收入合计</w:t>
      </w:r>
      <w:r>
        <w:rPr>
          <w:rFonts w:hint="eastAsia" w:ascii="Times New Roman" w:hAnsi="Times New Roman" w:eastAsia="仿宋_GB2312"/>
          <w:color w:val="auto"/>
          <w:sz w:val="32"/>
          <w:szCs w:val="32"/>
          <w:highlight w:val="none"/>
          <w:lang w:val="en-US" w:eastAsia="zh-CN"/>
        </w:rPr>
        <w:t>2558.63</w:t>
      </w:r>
      <w:r>
        <w:rPr>
          <w:rFonts w:hint="eastAsia" w:ascii="Times New Roman" w:hAnsi="Times New Roman" w:eastAsia="仿宋_GB2312"/>
          <w:color w:val="auto"/>
          <w:sz w:val="32"/>
          <w:szCs w:val="32"/>
          <w:highlight w:val="none"/>
        </w:rPr>
        <w:t>万元，其中：财政拨款收入</w:t>
      </w:r>
      <w:r>
        <w:rPr>
          <w:rFonts w:hint="eastAsia" w:ascii="Times New Roman" w:hAnsi="Times New Roman" w:eastAsia="仿宋_GB2312"/>
          <w:color w:val="auto"/>
          <w:sz w:val="32"/>
          <w:szCs w:val="32"/>
          <w:highlight w:val="none"/>
          <w:lang w:val="en-US" w:eastAsia="zh-CN"/>
        </w:rPr>
        <w:t>2556.59</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99.92%</w:t>
      </w:r>
      <w:r>
        <w:rPr>
          <w:rFonts w:hint="eastAsia" w:ascii="Times New Roman" w:hAnsi="Times New Roman" w:eastAsia="仿宋_GB2312"/>
          <w:color w:val="auto"/>
          <w:sz w:val="32"/>
          <w:szCs w:val="32"/>
          <w:highlight w:val="none"/>
        </w:rPr>
        <w:t>；其他收入</w:t>
      </w:r>
      <w:r>
        <w:rPr>
          <w:rFonts w:hint="eastAsia" w:ascii="Times New Roman" w:hAnsi="Times New Roman" w:eastAsia="仿宋_GB2312"/>
          <w:color w:val="auto"/>
          <w:sz w:val="32"/>
          <w:szCs w:val="32"/>
          <w:highlight w:val="none"/>
          <w:lang w:val="en-US" w:eastAsia="zh-CN"/>
        </w:rPr>
        <w:t>2.04</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0.08%</w:t>
      </w:r>
      <w:r>
        <w:rPr>
          <w:rFonts w:hint="eastAsia" w:ascii="Times New Roman" w:hAnsi="Times New Roman" w:eastAsia="仿宋_GB2312"/>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三、支出决算情况说明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年度支出合计</w:t>
      </w:r>
      <w:r>
        <w:rPr>
          <w:rFonts w:hint="eastAsia" w:ascii="Times New Roman" w:hAnsi="Times New Roman" w:eastAsia="仿宋_GB2312"/>
          <w:color w:val="auto"/>
          <w:sz w:val="32"/>
          <w:szCs w:val="32"/>
          <w:highlight w:val="none"/>
          <w:lang w:val="en-US" w:eastAsia="zh-CN"/>
        </w:rPr>
        <w:t>2087.98</w:t>
      </w:r>
      <w:r>
        <w:rPr>
          <w:rFonts w:hint="eastAsia" w:ascii="Times New Roman" w:hAnsi="Times New Roman" w:eastAsia="仿宋_GB2312"/>
          <w:color w:val="auto"/>
          <w:sz w:val="32"/>
          <w:szCs w:val="32"/>
          <w:highlight w:val="none"/>
        </w:rPr>
        <w:t>万元，其中：基本支出</w:t>
      </w:r>
      <w:r>
        <w:rPr>
          <w:rFonts w:hint="eastAsia" w:ascii="Times New Roman" w:hAnsi="Times New Roman" w:eastAsia="仿宋_GB2312"/>
          <w:color w:val="auto"/>
          <w:sz w:val="32"/>
          <w:szCs w:val="32"/>
          <w:highlight w:val="none"/>
          <w:lang w:val="en-US" w:eastAsia="zh-CN"/>
        </w:rPr>
        <w:t>1062.98</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50.91%</w:t>
      </w:r>
      <w:r>
        <w:rPr>
          <w:rFonts w:hint="eastAsia" w:ascii="Times New Roman" w:hAnsi="Times New Roman" w:eastAsia="仿宋_GB2312"/>
          <w:color w:val="auto"/>
          <w:sz w:val="32"/>
          <w:szCs w:val="32"/>
          <w:highlight w:val="none"/>
        </w:rPr>
        <w:t>；项目支出</w:t>
      </w:r>
      <w:r>
        <w:rPr>
          <w:rFonts w:hint="eastAsia" w:ascii="Times New Roman" w:hAnsi="Times New Roman" w:eastAsia="仿宋_GB2312"/>
          <w:color w:val="auto"/>
          <w:sz w:val="32"/>
          <w:szCs w:val="32"/>
          <w:highlight w:val="none"/>
          <w:lang w:val="en-US" w:eastAsia="zh-CN"/>
        </w:rPr>
        <w:t>1025.00</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49.09%</w:t>
      </w:r>
      <w:r>
        <w:rPr>
          <w:rFonts w:hint="eastAsia" w:ascii="Times New Roman" w:hAnsi="Times New Roman" w:eastAsia="仿宋_GB2312"/>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四、财政拨款收入支出决算总体情况说明</w:t>
      </w:r>
    </w:p>
    <w:p>
      <w:pPr>
        <w:pStyle w:val="15"/>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 xml:space="preserve">    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年度财政拨款收、支总计</w:t>
      </w:r>
      <w:r>
        <w:rPr>
          <w:rFonts w:hint="eastAsia" w:ascii="Times New Roman" w:hAnsi="Times New Roman" w:eastAsia="仿宋_GB2312"/>
          <w:color w:val="auto"/>
          <w:sz w:val="32"/>
          <w:szCs w:val="32"/>
          <w:highlight w:val="none"/>
          <w:lang w:val="en-US" w:eastAsia="zh-CN"/>
        </w:rPr>
        <w:t>4516.14</w:t>
      </w:r>
      <w:r>
        <w:rPr>
          <w:rFonts w:hint="eastAsia" w:ascii="Times New Roman" w:hAnsi="Times New Roman" w:eastAsia="仿宋_GB2312"/>
          <w:color w:val="auto"/>
          <w:sz w:val="32"/>
          <w:szCs w:val="32"/>
          <w:highlight w:val="none"/>
        </w:rPr>
        <w:t>万元，与上年相比，增加</w:t>
      </w:r>
      <w:r>
        <w:rPr>
          <w:rFonts w:hint="eastAsia" w:ascii="Times New Roman" w:hAnsi="Times New Roman" w:eastAsia="仿宋_GB2312"/>
          <w:color w:val="auto"/>
          <w:sz w:val="32"/>
          <w:szCs w:val="32"/>
          <w:highlight w:val="none"/>
          <w:lang w:val="en-US" w:eastAsia="zh-CN"/>
        </w:rPr>
        <w:t>779.39</w:t>
      </w:r>
      <w:r>
        <w:rPr>
          <w:rFonts w:hint="eastAsia" w:ascii="Times New Roman" w:hAnsi="Times New Roman"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11.12</w:t>
      </w:r>
      <w:r>
        <w:rPr>
          <w:rFonts w:hint="eastAsia" w:ascii="Times New Roman" w:hAnsi="Times New Roman" w:eastAsia="仿宋_GB2312"/>
          <w:color w:val="auto"/>
          <w:sz w:val="32"/>
          <w:szCs w:val="32"/>
          <w:highlight w:val="none"/>
        </w:rPr>
        <w:t>%，主要是因为</w:t>
      </w:r>
      <w:r>
        <w:rPr>
          <w:rFonts w:hint="eastAsia" w:ascii="Times New Roman" w:hAnsi="Times New Roman" w:eastAsia="仿宋_GB2312"/>
          <w:color w:val="auto"/>
          <w:sz w:val="32"/>
          <w:szCs w:val="32"/>
          <w:highlight w:val="none"/>
          <w:lang w:eastAsia="zh-CN"/>
        </w:rPr>
        <w:t>年中追加的专项资金增加，一是</w:t>
      </w:r>
      <w:r>
        <w:rPr>
          <w:rFonts w:hint="eastAsia" w:ascii="Times New Roman" w:hAnsi="Times New Roman" w:eastAsia="仿宋_GB2312"/>
          <w:color w:val="auto"/>
          <w:sz w:val="32"/>
          <w:szCs w:val="32"/>
          <w:highlight w:val="none"/>
          <w:lang w:val="en-US" w:eastAsia="zh-CN"/>
        </w:rPr>
        <w:t>2022年度</w:t>
      </w:r>
      <w:r>
        <w:rPr>
          <w:rFonts w:hint="eastAsia" w:ascii="Times New Roman" w:hAnsi="Times New Roman" w:eastAsia="仿宋_GB2312"/>
          <w:color w:val="auto"/>
          <w:sz w:val="32"/>
          <w:szCs w:val="32"/>
          <w:highlight w:val="none"/>
          <w:lang w:eastAsia="zh-CN"/>
        </w:rPr>
        <w:t>省文化和旅游专项资金</w:t>
      </w:r>
      <w:r>
        <w:rPr>
          <w:rFonts w:hint="eastAsia" w:ascii="Times New Roman" w:hAnsi="Times New Roman" w:eastAsia="仿宋_GB2312"/>
          <w:color w:val="auto"/>
          <w:sz w:val="32"/>
          <w:szCs w:val="32"/>
          <w:highlight w:val="none"/>
          <w:lang w:val="en-US" w:eastAsia="zh-CN"/>
        </w:rPr>
        <w:t>对本馆支持额度较往年有大幅度增加，旅游发展专项书库大楼二期建设（装饰及安装工程）支持资金540.00万，二是较2021年</w:t>
      </w:r>
      <w:r>
        <w:rPr>
          <w:rFonts w:hint="eastAsia" w:ascii="Times New Roman" w:hAnsi="Times New Roman" w:eastAsia="仿宋_GB2312"/>
          <w:color w:val="auto"/>
          <w:sz w:val="32"/>
          <w:szCs w:val="32"/>
          <w:highlight w:val="none"/>
          <w:lang w:eastAsia="zh-CN"/>
        </w:rPr>
        <w:t>追加安排了图书馆书库大楼加固维修尾款</w:t>
      </w:r>
      <w:r>
        <w:rPr>
          <w:rFonts w:hint="eastAsia" w:ascii="Times New Roman" w:hAnsi="Times New Roman" w:eastAsia="仿宋_GB2312"/>
          <w:color w:val="auto"/>
          <w:sz w:val="32"/>
          <w:szCs w:val="32"/>
          <w:highlight w:val="none"/>
          <w:lang w:val="en-US" w:eastAsia="zh-CN"/>
        </w:rPr>
        <w:t>190.00万</w:t>
      </w:r>
      <w:r>
        <w:rPr>
          <w:rFonts w:hint="eastAsia" w:ascii="Times New Roman" w:hAnsi="Times New Roman" w:eastAsia="仿宋_GB2312"/>
          <w:color w:val="auto"/>
          <w:sz w:val="32"/>
          <w:szCs w:val="32"/>
          <w:highlight w:val="none"/>
          <w:lang w:eastAsia="zh-CN"/>
        </w:rPr>
        <w:t>等额度较大的项目。</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五、一般公共预算财政拨款支出决算情况说明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color w:val="auto"/>
          <w:sz w:val="32"/>
          <w:szCs w:val="32"/>
          <w:highlight w:val="none"/>
        </w:rPr>
      </w:pPr>
      <w:r>
        <w:rPr>
          <w:rFonts w:hint="eastAsia" w:ascii="楷体" w:hAnsi="楷体" w:eastAsia="楷体" w:cs="楷体"/>
          <w:b w:val="0"/>
          <w:bCs/>
          <w:color w:val="auto"/>
          <w:sz w:val="32"/>
          <w:szCs w:val="32"/>
          <w:highlight w:val="none"/>
        </w:rPr>
        <w:t>（一）财政拨款支出决算总体情况</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年度财政拨款支出</w:t>
      </w:r>
      <w:r>
        <w:rPr>
          <w:rFonts w:hint="eastAsia" w:ascii="Times New Roman" w:hAnsi="Times New Roman" w:eastAsia="仿宋_GB2312"/>
          <w:color w:val="auto"/>
          <w:sz w:val="32"/>
          <w:szCs w:val="32"/>
          <w:highlight w:val="none"/>
          <w:lang w:val="en-US" w:eastAsia="zh-CN"/>
        </w:rPr>
        <w:t>1959.55</w:t>
      </w:r>
      <w:r>
        <w:rPr>
          <w:rFonts w:hint="eastAsia" w:ascii="Times New Roman" w:hAnsi="Times New Roman" w:eastAsia="仿宋_GB2312"/>
          <w:color w:val="auto"/>
          <w:sz w:val="32"/>
          <w:szCs w:val="32"/>
          <w:highlight w:val="none"/>
        </w:rPr>
        <w:t>万元，占本年支出合计的</w:t>
      </w:r>
      <w:r>
        <w:rPr>
          <w:rFonts w:hint="eastAsia" w:ascii="Times New Roman" w:hAnsi="Times New Roman" w:eastAsia="仿宋_GB2312"/>
          <w:color w:val="auto"/>
          <w:sz w:val="32"/>
          <w:szCs w:val="32"/>
          <w:highlight w:val="none"/>
          <w:lang w:val="en-US" w:eastAsia="zh-CN"/>
        </w:rPr>
        <w:t>70.50%</w:t>
      </w:r>
      <w:r>
        <w:rPr>
          <w:rFonts w:hint="eastAsia" w:ascii="Times New Roman" w:hAnsi="Times New Roman" w:eastAsia="仿宋_GB2312"/>
          <w:color w:val="auto"/>
          <w:sz w:val="32"/>
          <w:szCs w:val="32"/>
          <w:highlight w:val="none"/>
        </w:rPr>
        <w:t>，与上年相比，财政拨款支出增加</w:t>
      </w:r>
      <w:r>
        <w:rPr>
          <w:rFonts w:hint="eastAsia" w:ascii="Times New Roman" w:hAnsi="Times New Roman" w:eastAsia="仿宋_GB2312"/>
          <w:color w:val="auto"/>
          <w:sz w:val="32"/>
          <w:szCs w:val="32"/>
          <w:highlight w:val="none"/>
          <w:lang w:val="en-US" w:eastAsia="zh-CN"/>
        </w:rPr>
        <w:t>98.99</w:t>
      </w:r>
      <w:r>
        <w:rPr>
          <w:rFonts w:hint="eastAsia" w:ascii="Times New Roman" w:hAnsi="Times New Roman"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5.32</w:t>
      </w:r>
      <w:r>
        <w:rPr>
          <w:rFonts w:hint="eastAsia" w:ascii="Times New Roman" w:hAnsi="Times New Roman" w:eastAsia="仿宋_GB2312"/>
          <w:color w:val="auto"/>
          <w:sz w:val="32"/>
          <w:szCs w:val="32"/>
          <w:highlight w:val="none"/>
        </w:rPr>
        <w:t>%，主要是因为</w:t>
      </w:r>
      <w:r>
        <w:rPr>
          <w:rFonts w:hint="eastAsia" w:ascii="Times New Roman" w:hAnsi="Times New Roman" w:eastAsia="仿宋_GB2312"/>
          <w:color w:val="auto"/>
          <w:sz w:val="32"/>
          <w:szCs w:val="32"/>
          <w:highlight w:val="none"/>
          <w:lang w:eastAsia="zh-CN"/>
        </w:rPr>
        <w:t>追加的专项资金收入增加，部分收入对应形成支出。</w:t>
      </w:r>
    </w:p>
    <w:p>
      <w:pPr>
        <w:pStyle w:val="15"/>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color w:val="auto"/>
          <w:sz w:val="32"/>
          <w:szCs w:val="32"/>
          <w:highlight w:val="none"/>
        </w:rPr>
      </w:pPr>
      <w:r>
        <w:rPr>
          <w:rFonts w:hint="eastAsia" w:ascii="楷体" w:hAnsi="楷体" w:eastAsia="楷体" w:cs="楷体"/>
          <w:b w:val="0"/>
          <w:bCs/>
          <w:color w:val="auto"/>
          <w:sz w:val="32"/>
          <w:szCs w:val="32"/>
          <w:highlight w:val="none"/>
        </w:rPr>
        <w:t>（二）财政拨款支出决算结构情况</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年度财政拨款支出</w:t>
      </w:r>
      <w:r>
        <w:rPr>
          <w:rFonts w:hint="eastAsia" w:ascii="Times New Roman" w:hAnsi="Times New Roman" w:eastAsia="仿宋_GB2312"/>
          <w:color w:val="auto"/>
          <w:sz w:val="32"/>
          <w:szCs w:val="32"/>
          <w:highlight w:val="none"/>
          <w:lang w:val="en-US" w:eastAsia="zh-CN"/>
        </w:rPr>
        <w:t>1959.55</w:t>
      </w:r>
      <w:r>
        <w:rPr>
          <w:rFonts w:hint="eastAsia" w:ascii="Times New Roman" w:hAnsi="Times New Roman" w:eastAsia="仿宋_GB2312"/>
          <w:color w:val="auto"/>
          <w:sz w:val="32"/>
          <w:szCs w:val="32"/>
          <w:highlight w:val="none"/>
        </w:rPr>
        <w:t>万元，主要用于以下方面：教育（类）支出</w:t>
      </w:r>
      <w:r>
        <w:rPr>
          <w:rFonts w:hint="eastAsia" w:ascii="Times New Roman" w:hAnsi="Times New Roman" w:eastAsia="仿宋_GB2312"/>
          <w:color w:val="auto"/>
          <w:sz w:val="32"/>
          <w:szCs w:val="32"/>
          <w:highlight w:val="none"/>
          <w:lang w:val="en-US" w:eastAsia="zh-CN"/>
        </w:rPr>
        <w:t>2.50</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0.13%</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科学技术支出（类）支出75.39万元，占</w:t>
      </w:r>
      <w:r>
        <w:rPr>
          <w:rFonts w:hint="eastAsia" w:ascii="Times New Roman" w:hAnsi="Times New Roman" w:eastAsia="仿宋_GB2312"/>
          <w:color w:val="auto"/>
          <w:sz w:val="32"/>
          <w:szCs w:val="32"/>
          <w:highlight w:val="none"/>
          <w:lang w:val="en-US" w:eastAsia="zh-CN"/>
        </w:rPr>
        <w:t>0.1%</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文化旅游体育与传媒支出（类）支出</w:t>
      </w:r>
      <w:r>
        <w:rPr>
          <w:rFonts w:hint="eastAsia" w:ascii="Times New Roman" w:hAnsi="Times New Roman" w:eastAsia="仿宋_GB2312"/>
          <w:color w:val="auto"/>
          <w:sz w:val="32"/>
          <w:szCs w:val="32"/>
          <w:highlight w:val="none"/>
          <w:lang w:val="en-US" w:eastAsia="zh-CN"/>
        </w:rPr>
        <w:t>1760.05</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89.82%</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社会保障和就业支出（类）支出</w:t>
      </w:r>
      <w:r>
        <w:rPr>
          <w:rFonts w:hint="eastAsia" w:ascii="Times New Roman" w:hAnsi="Times New Roman" w:eastAsia="仿宋_GB2312"/>
          <w:color w:val="auto"/>
          <w:sz w:val="32"/>
          <w:szCs w:val="32"/>
          <w:highlight w:val="none"/>
          <w:lang w:val="en-US" w:eastAsia="zh-CN"/>
        </w:rPr>
        <w:t>78.00</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3.98%</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住房保障支出（类）支出</w:t>
      </w:r>
      <w:r>
        <w:rPr>
          <w:rFonts w:hint="eastAsia" w:ascii="Times New Roman" w:hAnsi="Times New Roman" w:eastAsia="仿宋_GB2312"/>
          <w:color w:val="auto"/>
          <w:sz w:val="32"/>
          <w:szCs w:val="32"/>
          <w:highlight w:val="none"/>
          <w:lang w:val="en-US" w:eastAsia="zh-CN"/>
        </w:rPr>
        <w:t>119.00</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6.07%</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color w:val="auto"/>
          <w:sz w:val="32"/>
          <w:szCs w:val="32"/>
          <w:highlight w:val="none"/>
        </w:rPr>
      </w:pPr>
      <w:r>
        <w:rPr>
          <w:rFonts w:hint="eastAsia" w:ascii="楷体" w:hAnsi="楷体" w:eastAsia="楷体" w:cs="楷体"/>
          <w:b w:val="0"/>
          <w:bCs/>
          <w:color w:val="auto"/>
          <w:sz w:val="32"/>
          <w:szCs w:val="32"/>
          <w:highlight w:val="none"/>
        </w:rPr>
        <w:t>（三）财政拨款支出决算具体情况</w:t>
      </w:r>
    </w:p>
    <w:p>
      <w:pPr>
        <w:pStyle w:val="15"/>
        <w:keepNext w:val="0"/>
        <w:keepLines w:val="0"/>
        <w:pageBreakBefore w:val="0"/>
        <w:widowControl w:val="0"/>
        <w:kinsoku/>
        <w:wordWrap/>
        <w:overflowPunct/>
        <w:topLinePunct w:val="0"/>
        <w:bidi w:val="0"/>
        <w:snapToGrid/>
        <w:spacing w:line="600" w:lineRule="exact"/>
        <w:ind w:firstLine="800" w:firstLineChars="25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年度财政拨款支出年初预算数为</w:t>
      </w:r>
      <w:r>
        <w:rPr>
          <w:rFonts w:hint="eastAsia" w:ascii="Times New Roman" w:hAnsi="Times New Roman" w:eastAsia="仿宋_GB2312"/>
          <w:color w:val="auto"/>
          <w:sz w:val="32"/>
          <w:szCs w:val="32"/>
          <w:highlight w:val="none"/>
          <w:lang w:val="en-US" w:eastAsia="zh-CN"/>
        </w:rPr>
        <w:t>1678.91</w:t>
      </w:r>
      <w:r>
        <w:rPr>
          <w:rFonts w:hint="eastAsia" w:ascii="Times New Roman" w:hAnsi="Times New Roman" w:eastAsia="仿宋_GB2312"/>
          <w:color w:val="auto"/>
          <w:sz w:val="32"/>
          <w:szCs w:val="32"/>
          <w:highlight w:val="none"/>
        </w:rPr>
        <w:t>万元，支出决算数为</w:t>
      </w:r>
      <w:r>
        <w:rPr>
          <w:rFonts w:hint="eastAsia" w:ascii="Times New Roman" w:hAnsi="Times New Roman" w:eastAsia="仿宋_GB2312"/>
          <w:color w:val="auto"/>
          <w:sz w:val="32"/>
          <w:szCs w:val="32"/>
          <w:highlight w:val="none"/>
          <w:lang w:val="en-US" w:eastAsia="zh-CN"/>
        </w:rPr>
        <w:t>1959.55</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116.72%</w:t>
      </w:r>
      <w:r>
        <w:rPr>
          <w:rFonts w:hint="eastAsia" w:ascii="Times New Roman" w:hAnsi="Times New Roman" w:eastAsia="仿宋_GB2312"/>
          <w:color w:val="auto"/>
          <w:sz w:val="32"/>
          <w:szCs w:val="32"/>
          <w:highlight w:val="none"/>
        </w:rPr>
        <w:t>，其中：</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、教育支出（类）进修及培训（款）培训支出（项）。</w:t>
      </w:r>
    </w:p>
    <w:p>
      <w:pPr>
        <w:pStyle w:val="15"/>
        <w:keepNext w:val="0"/>
        <w:keepLines w:val="0"/>
        <w:pageBreakBefore w:val="0"/>
        <w:widowControl w:val="0"/>
        <w:kinsoku/>
        <w:wordWrap/>
        <w:overflowPunct/>
        <w:topLinePunct w:val="0"/>
        <w:bidi w:val="0"/>
        <w:snapToGrid/>
        <w:spacing w:line="600" w:lineRule="exact"/>
        <w:ind w:firstLine="800" w:firstLineChars="250"/>
        <w:jc w:val="both"/>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2.50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2.50</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100</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文化旅游体育与传媒支出（类）文化和旅游（款）图书馆（项）。</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1336.47</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1314.88</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98.38%</w:t>
      </w:r>
      <w:r>
        <w:rPr>
          <w:rFonts w:hint="eastAsia" w:ascii="Times New Roman" w:hAnsi="Times New Roman" w:eastAsia="仿宋_GB2312"/>
          <w:color w:val="auto"/>
          <w:sz w:val="32"/>
          <w:szCs w:val="32"/>
          <w:highlight w:val="none"/>
        </w:rPr>
        <w:t>，决算数</w:t>
      </w:r>
      <w:r>
        <w:rPr>
          <w:rFonts w:hint="eastAsia" w:ascii="Times New Roman" w:hAnsi="Times New Roman" w:eastAsia="仿宋_GB2312"/>
          <w:color w:val="auto"/>
          <w:sz w:val="32"/>
          <w:szCs w:val="32"/>
          <w:highlight w:val="none"/>
          <w:lang w:val="en-US" w:eastAsia="zh-CN"/>
        </w:rPr>
        <w:t>小</w:t>
      </w:r>
      <w:r>
        <w:rPr>
          <w:rFonts w:hint="eastAsia" w:ascii="Times New Roman" w:hAnsi="Times New Roman" w:eastAsia="仿宋_GB2312"/>
          <w:color w:val="auto"/>
          <w:sz w:val="32"/>
          <w:szCs w:val="32"/>
          <w:highlight w:val="none"/>
        </w:rPr>
        <w:t>于年初预算数的主要原因是：</w:t>
      </w:r>
      <w:r>
        <w:rPr>
          <w:rFonts w:hint="eastAsia" w:ascii="Times New Roman" w:hAnsi="Times New Roman" w:eastAsia="仿宋_GB2312"/>
          <w:color w:val="auto"/>
          <w:sz w:val="32"/>
          <w:szCs w:val="32"/>
          <w:highlight w:val="none"/>
          <w:lang w:val="en-US" w:eastAsia="zh-CN"/>
        </w:rPr>
        <w:t>部分书籍尾款未付</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rPr>
        <w:t>文化旅游体育与传媒支出（类）文化和旅游（款）其他文化和旅游支出（项）。</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3.50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13.49</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385.43%</w:t>
      </w:r>
      <w:r>
        <w:rPr>
          <w:rFonts w:hint="eastAsia" w:ascii="Times New Roman" w:hAnsi="Times New Roman" w:eastAsia="仿宋_GB2312"/>
          <w:color w:val="auto"/>
          <w:sz w:val="32"/>
          <w:szCs w:val="32"/>
          <w:highlight w:val="none"/>
        </w:rPr>
        <w:t>，决算数大于年初预算数的主要原因是</w:t>
      </w:r>
      <w:r>
        <w:rPr>
          <w:rFonts w:hint="eastAsia" w:ascii="Times New Roman" w:hAnsi="Times New Roman" w:eastAsia="仿宋_GB2312"/>
          <w:color w:val="auto"/>
          <w:sz w:val="32"/>
          <w:szCs w:val="32"/>
          <w:highlight w:val="none"/>
          <w:lang w:eastAsia="zh-CN"/>
        </w:rPr>
        <w:t>：年中追加中央支持地方公共文化服务体系建设补助资金，支出对应增加。</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文化旅游体育与传媒支出（类）其他文化旅游体育与传媒支出（款）其他文化旅游体育与传媒支出（项）。</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bCs/>
          <w:color w:val="auto"/>
          <w:kern w:val="0"/>
          <w:sz w:val="32"/>
          <w:szCs w:val="32"/>
          <w:highlight w:val="none"/>
          <w:lang w:val="en-US"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184.45</w:t>
      </w:r>
      <w:r>
        <w:rPr>
          <w:rFonts w:hint="eastAsia" w:ascii="Times New Roman" w:hAnsi="Times New Roman" w:eastAsia="仿宋_GB2312"/>
          <w:color w:val="auto"/>
          <w:sz w:val="32"/>
          <w:szCs w:val="32"/>
          <w:highlight w:val="none"/>
        </w:rPr>
        <w:t>万元，支出决算为4</w:t>
      </w:r>
      <w:r>
        <w:rPr>
          <w:rFonts w:hint="eastAsia" w:ascii="Times New Roman" w:hAnsi="Times New Roman" w:eastAsia="仿宋_GB2312"/>
          <w:color w:val="auto"/>
          <w:sz w:val="32"/>
          <w:szCs w:val="32"/>
          <w:highlight w:val="none"/>
          <w:lang w:val="en-US" w:eastAsia="zh-CN"/>
        </w:rPr>
        <w:t>31.68</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234.04%</w:t>
      </w:r>
      <w:r>
        <w:rPr>
          <w:rFonts w:hint="eastAsia" w:ascii="Times New Roman" w:hAnsi="Times New Roman" w:eastAsia="仿宋_GB2312"/>
          <w:color w:val="auto"/>
          <w:sz w:val="32"/>
          <w:szCs w:val="32"/>
          <w:highlight w:val="none"/>
        </w:rPr>
        <w:t>，决算数大于年初预算数的主要原因是：</w:t>
      </w:r>
      <w:r>
        <w:rPr>
          <w:rFonts w:hint="eastAsia" w:ascii="Times New Roman" w:hAnsi="Times New Roman" w:eastAsia="仿宋_GB2312"/>
          <w:color w:val="auto"/>
          <w:sz w:val="32"/>
          <w:szCs w:val="32"/>
          <w:highlight w:val="none"/>
          <w:lang w:eastAsia="zh-CN"/>
        </w:rPr>
        <w:t>年中追加中央支持地方公共文化服务体系建设补助资金，支出对应增加。</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rPr>
        <w:t>社会保障和就业支出（类）行政事业单位养老支出（款）机关事业单位基本养老保险缴费支出（项）。</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78.00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78.00</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100</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住房保障支出（类）住房改革支出（款）住房公积金（项）。</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82.00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82.00</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100%</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7、</w:t>
      </w:r>
      <w:r>
        <w:rPr>
          <w:rFonts w:hint="eastAsia" w:ascii="Times New Roman" w:hAnsi="Times New Roman" w:eastAsia="仿宋_GB2312"/>
          <w:color w:val="auto"/>
          <w:sz w:val="32"/>
          <w:szCs w:val="32"/>
          <w:highlight w:val="none"/>
        </w:rPr>
        <w:t>住房保障支出（类）住房改革支出（款）购房补贴（项）。</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年初预算为</w:t>
      </w:r>
      <w:r>
        <w:rPr>
          <w:rFonts w:hint="eastAsia" w:ascii="Times New Roman" w:hAnsi="Times New Roman" w:eastAsia="仿宋_GB2312"/>
          <w:color w:val="auto"/>
          <w:sz w:val="32"/>
          <w:szCs w:val="32"/>
          <w:highlight w:val="none"/>
          <w:lang w:val="en-US" w:eastAsia="zh-CN"/>
        </w:rPr>
        <w:t>37.00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37.00</w:t>
      </w:r>
      <w:r>
        <w:rPr>
          <w:rFonts w:hint="eastAsia" w:ascii="Times New Roman" w:hAnsi="Times New Roman" w:eastAsia="仿宋_GB2312"/>
          <w:color w:val="auto"/>
          <w:sz w:val="32"/>
          <w:szCs w:val="32"/>
          <w:highlight w:val="none"/>
        </w:rPr>
        <w:t>万元，完成年初预算的</w:t>
      </w:r>
      <w:r>
        <w:rPr>
          <w:rFonts w:hint="eastAsia" w:ascii="Times New Roman" w:hAnsi="Times New Roman" w:eastAsia="仿宋_GB2312"/>
          <w:color w:val="auto"/>
          <w:sz w:val="32"/>
          <w:szCs w:val="32"/>
          <w:highlight w:val="none"/>
          <w:lang w:val="en-US" w:eastAsia="zh-CN"/>
        </w:rPr>
        <w:t>100%</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六、一般公共预算财政拨款基本支出决算情况说明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年度财政拨款基本支出</w:t>
      </w:r>
      <w:r>
        <w:rPr>
          <w:rFonts w:hint="eastAsia" w:ascii="Times New Roman" w:hAnsi="Times New Roman" w:eastAsia="仿宋_GB2312"/>
          <w:color w:val="auto"/>
          <w:sz w:val="32"/>
          <w:szCs w:val="32"/>
          <w:highlight w:val="none"/>
          <w:lang w:val="en-US" w:eastAsia="zh-CN"/>
        </w:rPr>
        <w:t>1011.61</w:t>
      </w:r>
      <w:r>
        <w:rPr>
          <w:rFonts w:hint="eastAsia" w:ascii="Times New Roman" w:hAnsi="Times New Roman" w:eastAsia="仿宋_GB2312"/>
          <w:color w:val="auto"/>
          <w:sz w:val="32"/>
          <w:szCs w:val="32"/>
          <w:highlight w:val="none"/>
        </w:rPr>
        <w:t>万元，其中：</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b/>
          <w:bCs/>
          <w:color w:val="auto"/>
          <w:sz w:val="32"/>
          <w:szCs w:val="32"/>
          <w:highlight w:val="none"/>
        </w:rPr>
        <w:t>人员经费</w:t>
      </w:r>
      <w:r>
        <w:rPr>
          <w:rFonts w:hint="eastAsia" w:ascii="Times New Roman" w:hAnsi="Times New Roman" w:eastAsia="仿宋_GB2312"/>
          <w:color w:val="auto"/>
          <w:sz w:val="32"/>
          <w:szCs w:val="32"/>
          <w:highlight w:val="none"/>
          <w:lang w:val="en-US" w:eastAsia="zh-CN"/>
        </w:rPr>
        <w:t>917.85</w:t>
      </w:r>
      <w:r>
        <w:rPr>
          <w:rFonts w:hint="eastAsia" w:ascii="Times New Roman" w:hAnsi="Times New Roman" w:eastAsia="仿宋_GB2312"/>
          <w:color w:val="auto"/>
          <w:sz w:val="32"/>
          <w:szCs w:val="32"/>
          <w:highlight w:val="none"/>
          <w:lang w:eastAsia="zh-CN"/>
        </w:rPr>
        <w:t>万元，占基</w:t>
      </w:r>
      <w:r>
        <w:rPr>
          <w:rFonts w:hint="eastAsia" w:ascii="Times New Roman" w:hAnsi="Times New Roman" w:eastAsia="仿宋_GB2312"/>
          <w:color w:val="auto"/>
          <w:sz w:val="32"/>
          <w:szCs w:val="32"/>
          <w:highlight w:val="none"/>
        </w:rPr>
        <w:t>本支出的</w:t>
      </w:r>
      <w:r>
        <w:rPr>
          <w:rFonts w:hint="eastAsia" w:ascii="Times New Roman" w:hAnsi="Times New Roman" w:eastAsia="仿宋_GB2312"/>
          <w:color w:val="auto"/>
          <w:sz w:val="32"/>
          <w:szCs w:val="32"/>
          <w:highlight w:val="none"/>
          <w:lang w:val="en-US" w:eastAsia="zh-CN"/>
        </w:rPr>
        <w:t>90.73%</w:t>
      </w:r>
      <w:r>
        <w:rPr>
          <w:rFonts w:hint="eastAsia" w:ascii="Times New Roman" w:hAnsi="Times New Roman" w:eastAsia="仿宋_GB2312"/>
          <w:color w:val="auto"/>
          <w:sz w:val="32"/>
          <w:szCs w:val="32"/>
          <w:highlight w:val="none"/>
        </w:rPr>
        <w:t>,主要包括基本工资、津贴补贴、奖金、绩效工资、机关事业单位基本养老保险缴费、职工基本医疗保险缴费、其他社会保障缴费、住房公积金、离休费、退休费、医疗费补助、奖励金、其他对个人和家庭的补助</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b/>
          <w:bCs/>
          <w:color w:val="auto"/>
          <w:sz w:val="32"/>
          <w:szCs w:val="32"/>
          <w:highlight w:val="none"/>
        </w:rPr>
        <w:t>公用经费</w:t>
      </w:r>
      <w:r>
        <w:rPr>
          <w:rFonts w:hint="eastAsia" w:ascii="Times New Roman" w:hAnsi="Times New Roman" w:eastAsia="仿宋_GB2312"/>
          <w:color w:val="auto"/>
          <w:sz w:val="32"/>
          <w:szCs w:val="32"/>
          <w:highlight w:val="none"/>
          <w:lang w:val="en-US" w:eastAsia="zh-CN"/>
        </w:rPr>
        <w:t>93.76</w:t>
      </w:r>
      <w:r>
        <w:rPr>
          <w:rFonts w:hint="eastAsia" w:ascii="Times New Roman" w:hAnsi="Times New Roman" w:eastAsia="仿宋_GB2312"/>
          <w:color w:val="auto"/>
          <w:sz w:val="32"/>
          <w:szCs w:val="32"/>
          <w:highlight w:val="none"/>
        </w:rPr>
        <w:t>万元，占基本支出的</w:t>
      </w:r>
      <w:r>
        <w:rPr>
          <w:rFonts w:hint="eastAsia" w:ascii="Times New Roman" w:hAnsi="Times New Roman" w:eastAsia="仿宋_GB2312"/>
          <w:color w:val="auto"/>
          <w:sz w:val="32"/>
          <w:szCs w:val="32"/>
          <w:highlight w:val="none"/>
          <w:lang w:val="en-US" w:eastAsia="zh-CN"/>
        </w:rPr>
        <w:t>9.27%</w:t>
      </w:r>
      <w:r>
        <w:rPr>
          <w:rFonts w:hint="eastAsia" w:ascii="Times New Roman" w:hAnsi="Times New Roman" w:eastAsia="仿宋_GB2312"/>
          <w:color w:val="auto"/>
          <w:sz w:val="32"/>
          <w:szCs w:val="32"/>
          <w:highlight w:val="none"/>
        </w:rPr>
        <w:t>，主要包括办公费、印刷费、水费、电费、邮电费、物业管理费、差旅费、维修（护）费、培训费、公务接待费、劳务费、委托业务费、工会经费、公务用车运行维护费、其他交通费用、其他商品和服务支出。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color w:val="auto"/>
          <w:sz w:val="32"/>
          <w:szCs w:val="32"/>
          <w:highlight w:val="none"/>
        </w:rPr>
      </w:pPr>
      <w:r>
        <w:rPr>
          <w:rFonts w:hint="eastAsia" w:ascii="黑体" w:hAnsi="黑体" w:eastAsia="黑体" w:cs="黑体"/>
          <w:b w:val="0"/>
          <w:bCs/>
          <w:color w:val="auto"/>
          <w:sz w:val="32"/>
          <w:szCs w:val="32"/>
          <w:highlight w:val="none"/>
        </w:rPr>
        <w:t>七、财政拨款三公经费支出决算情况说明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rPr>
        <w:t>（一）“三公”经费财政拨款支出决算总体情况说明</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“三公”经费财政拨款支出预算为</w:t>
      </w:r>
      <w:r>
        <w:rPr>
          <w:rFonts w:hint="eastAsia" w:ascii="Times New Roman" w:hAnsi="Times New Roman" w:eastAsia="仿宋_GB2312"/>
          <w:color w:val="auto"/>
          <w:sz w:val="32"/>
          <w:szCs w:val="32"/>
          <w:highlight w:val="none"/>
          <w:lang w:val="en-US" w:eastAsia="zh-CN"/>
        </w:rPr>
        <w:t>32.50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30.84</w:t>
      </w:r>
      <w:r>
        <w:rPr>
          <w:rFonts w:hint="eastAsia" w:ascii="Times New Roman" w:hAnsi="Times New Roman" w:eastAsia="仿宋_GB2312"/>
          <w:color w:val="auto"/>
          <w:sz w:val="32"/>
          <w:szCs w:val="32"/>
          <w:highlight w:val="none"/>
        </w:rPr>
        <w:t>万元，完成预算的</w:t>
      </w:r>
      <w:r>
        <w:rPr>
          <w:rFonts w:hint="eastAsia" w:ascii="Times New Roman" w:hAnsi="Times New Roman" w:eastAsia="仿宋_GB2312"/>
          <w:color w:val="auto"/>
          <w:sz w:val="32"/>
          <w:szCs w:val="32"/>
          <w:highlight w:val="none"/>
          <w:lang w:val="en-US" w:eastAsia="zh-CN"/>
        </w:rPr>
        <w:t>94.89%</w:t>
      </w:r>
      <w:r>
        <w:rPr>
          <w:rFonts w:hint="eastAsia" w:ascii="Times New Roman" w:hAnsi="Times New Roman" w:eastAsia="仿宋_GB2312"/>
          <w:color w:val="auto"/>
          <w:sz w:val="32"/>
          <w:szCs w:val="32"/>
          <w:highlight w:val="none"/>
        </w:rPr>
        <w:t>，其中：</w:t>
      </w:r>
    </w:p>
    <w:p>
      <w:pPr>
        <w:pStyle w:val="15"/>
        <w:ind w:firstLine="800" w:firstLineChars="25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因公出国（境）费支出预算为0.00万元，支出决算为0.00万元，决算数等于预算数，与上年支出一致。</w:t>
      </w:r>
    </w:p>
    <w:p>
      <w:pPr>
        <w:pStyle w:val="15"/>
        <w:ind w:firstLine="800" w:firstLineChars="250"/>
        <w:rPr>
          <w:rFonts w:hint="eastAsia" w:ascii="仿宋" w:hAnsi="仿宋" w:eastAsia="仿宋" w:cs="仿宋"/>
          <w:color w:val="auto"/>
          <w:sz w:val="32"/>
          <w:szCs w:val="32"/>
          <w:highlight w:val="none"/>
        </w:rPr>
      </w:pPr>
      <w:r>
        <w:rPr>
          <w:rFonts w:hint="eastAsia" w:ascii="Times New Roman" w:hAnsi="Times New Roman" w:eastAsia="仿宋_GB2312"/>
          <w:color w:val="auto"/>
          <w:sz w:val="32"/>
          <w:szCs w:val="32"/>
          <w:highlight w:val="none"/>
        </w:rPr>
        <w:t>公务接待费支出预算为</w:t>
      </w:r>
      <w:r>
        <w:rPr>
          <w:rFonts w:hint="eastAsia" w:ascii="Times New Roman" w:hAnsi="Times New Roman" w:eastAsia="仿宋_GB2312"/>
          <w:color w:val="auto"/>
          <w:sz w:val="32"/>
          <w:szCs w:val="32"/>
          <w:highlight w:val="none"/>
          <w:lang w:val="en-US" w:eastAsia="zh-CN"/>
        </w:rPr>
        <w:t>0.5</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0.09</w:t>
      </w:r>
      <w:r>
        <w:rPr>
          <w:rFonts w:hint="eastAsia" w:ascii="Times New Roman" w:hAnsi="Times New Roman" w:eastAsia="仿宋_GB2312"/>
          <w:color w:val="auto"/>
          <w:sz w:val="32"/>
          <w:szCs w:val="32"/>
          <w:highlight w:val="none"/>
        </w:rPr>
        <w:t>万元，完成预算的</w:t>
      </w:r>
      <w:r>
        <w:rPr>
          <w:rFonts w:hint="eastAsia" w:ascii="Times New Roman" w:hAnsi="Times New Roman" w:eastAsia="仿宋_GB2312"/>
          <w:color w:val="auto"/>
          <w:sz w:val="32"/>
          <w:szCs w:val="32"/>
          <w:highlight w:val="none"/>
          <w:lang w:val="en-US" w:eastAsia="zh-CN"/>
        </w:rPr>
        <w:t>18%</w:t>
      </w:r>
      <w:r>
        <w:rPr>
          <w:rFonts w:hint="eastAsia" w:ascii="Times New Roman" w:hAnsi="Times New Roman" w:eastAsia="仿宋_GB2312"/>
          <w:color w:val="auto"/>
          <w:sz w:val="32"/>
          <w:szCs w:val="32"/>
          <w:highlight w:val="none"/>
        </w:rPr>
        <w:t>，决算数小于预算数的主要原因是</w:t>
      </w:r>
      <w:r>
        <w:rPr>
          <w:rFonts w:hint="eastAsia" w:ascii="Times New Roman" w:hAnsi="Times New Roman" w:eastAsia="仿宋_GB2312"/>
          <w:color w:val="auto"/>
          <w:sz w:val="32"/>
          <w:szCs w:val="32"/>
          <w:highlight w:val="none"/>
          <w:lang w:val="en-US" w:eastAsia="zh-CN"/>
        </w:rPr>
        <w:t>严格按照三公经费管理制度，例行节约</w:t>
      </w:r>
      <w:r>
        <w:rPr>
          <w:rFonts w:hint="eastAsia" w:ascii="Times New Roman" w:hAnsi="Times New Roman" w:eastAsia="仿宋_GB2312"/>
          <w:color w:val="auto"/>
          <w:sz w:val="32"/>
          <w:szCs w:val="32"/>
          <w:highlight w:val="none"/>
        </w:rPr>
        <w:t>，与上年相比减少</w:t>
      </w:r>
      <w:r>
        <w:rPr>
          <w:rFonts w:hint="eastAsia" w:ascii="Times New Roman" w:hAnsi="Times New Roman" w:eastAsia="仿宋_GB2312"/>
          <w:color w:val="auto"/>
          <w:sz w:val="32"/>
          <w:szCs w:val="32"/>
          <w:highlight w:val="none"/>
          <w:lang w:val="en-US" w:eastAsia="zh-CN"/>
        </w:rPr>
        <w:t>0.06</w:t>
      </w:r>
      <w:r>
        <w:rPr>
          <w:rFonts w:hint="eastAsia" w:ascii="Times New Roman" w:hAnsi="Times New Roman" w:eastAsia="仿宋_GB2312"/>
          <w:color w:val="auto"/>
          <w:sz w:val="32"/>
          <w:szCs w:val="32"/>
          <w:highlight w:val="none"/>
        </w:rPr>
        <w:t>万元，减少</w:t>
      </w:r>
      <w:r>
        <w:rPr>
          <w:rFonts w:hint="eastAsia" w:ascii="Times New Roman" w:hAnsi="Times New Roman" w:eastAsia="仿宋_GB2312"/>
          <w:color w:val="auto"/>
          <w:sz w:val="32"/>
          <w:szCs w:val="32"/>
          <w:highlight w:val="none"/>
          <w:lang w:val="en-US" w:eastAsia="zh-CN"/>
        </w:rPr>
        <w:t>40.00</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减少的主要原因是</w:t>
      </w:r>
      <w:r>
        <w:rPr>
          <w:rFonts w:hint="eastAsia" w:ascii="仿宋" w:hAnsi="仿宋" w:eastAsia="仿宋" w:cs="仿宋"/>
          <w:color w:val="auto"/>
          <w:sz w:val="32"/>
          <w:szCs w:val="32"/>
          <w:highlight w:val="none"/>
          <w:lang w:eastAsia="zh-CN"/>
        </w:rPr>
        <w:t>按“三公”经费管理要求，厉行节约</w:t>
      </w:r>
      <w:r>
        <w:rPr>
          <w:rFonts w:hint="eastAsia" w:ascii="仿宋" w:hAnsi="仿宋" w:eastAsia="仿宋" w:cs="仿宋"/>
          <w:color w:val="auto"/>
          <w:sz w:val="32"/>
          <w:szCs w:val="32"/>
          <w:highlight w:val="none"/>
        </w:rPr>
        <w:t>，公务活动</w:t>
      </w:r>
      <w:r>
        <w:rPr>
          <w:rFonts w:hint="eastAsia" w:ascii="仿宋" w:hAnsi="仿宋" w:eastAsia="仿宋" w:cs="仿宋"/>
          <w:color w:val="auto"/>
          <w:sz w:val="32"/>
          <w:szCs w:val="32"/>
          <w:highlight w:val="none"/>
          <w:lang w:eastAsia="zh-CN"/>
        </w:rPr>
        <w:t>较上年略有压减</w:t>
      </w:r>
      <w:r>
        <w:rPr>
          <w:rFonts w:hint="eastAsia" w:ascii="仿宋" w:hAnsi="仿宋" w:eastAsia="仿宋" w:cs="仿宋"/>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公务用车购置费支出预算为</w:t>
      </w:r>
      <w:r>
        <w:rPr>
          <w:rFonts w:hint="eastAsia" w:ascii="Times New Roman" w:hAnsi="Times New Roman" w:eastAsia="仿宋_GB2312"/>
          <w:color w:val="auto"/>
          <w:sz w:val="32"/>
          <w:szCs w:val="32"/>
          <w:highlight w:val="none"/>
          <w:lang w:val="en-US" w:eastAsia="zh-CN"/>
        </w:rPr>
        <w:t>30.00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29.37</w:t>
      </w:r>
      <w:r>
        <w:rPr>
          <w:rFonts w:hint="eastAsia" w:ascii="Times New Roman" w:hAnsi="Times New Roman" w:eastAsia="仿宋_GB2312"/>
          <w:color w:val="auto"/>
          <w:sz w:val="32"/>
          <w:szCs w:val="32"/>
          <w:highlight w:val="none"/>
        </w:rPr>
        <w:t>万元，完成预算的</w:t>
      </w:r>
      <w:r>
        <w:rPr>
          <w:rFonts w:hint="eastAsia" w:ascii="Times New Roman" w:hAnsi="Times New Roman" w:eastAsia="仿宋_GB2312"/>
          <w:color w:val="auto"/>
          <w:sz w:val="32"/>
          <w:szCs w:val="32"/>
          <w:highlight w:val="none"/>
          <w:lang w:val="en-US" w:eastAsia="zh-CN"/>
        </w:rPr>
        <w:t>97.90%</w:t>
      </w:r>
      <w:r>
        <w:rPr>
          <w:rFonts w:hint="eastAsia" w:ascii="Times New Roman" w:hAnsi="Times New Roman" w:eastAsia="仿宋_GB2312"/>
          <w:color w:val="auto"/>
          <w:sz w:val="32"/>
          <w:szCs w:val="32"/>
          <w:highlight w:val="none"/>
        </w:rPr>
        <w:t>，决算数小于预算数的主要原因是</w:t>
      </w:r>
      <w:r>
        <w:rPr>
          <w:rFonts w:hint="eastAsia" w:ascii="仿宋" w:hAnsi="仿宋" w:eastAsia="仿宋" w:cs="仿宋"/>
          <w:color w:val="auto"/>
          <w:sz w:val="32"/>
          <w:szCs w:val="32"/>
          <w:highlight w:val="none"/>
          <w:lang w:eastAsia="zh-CN"/>
        </w:rPr>
        <w:t>实际购买价格较预算略有压减</w:t>
      </w:r>
      <w:r>
        <w:rPr>
          <w:rFonts w:hint="eastAsia" w:ascii="Times New Roman" w:hAnsi="Times New Roman" w:eastAsia="仿宋_GB2312"/>
          <w:color w:val="auto"/>
          <w:sz w:val="32"/>
          <w:szCs w:val="32"/>
          <w:highlight w:val="none"/>
        </w:rPr>
        <w:t>，与上年相比增加</w:t>
      </w:r>
      <w:r>
        <w:rPr>
          <w:rFonts w:hint="eastAsia" w:ascii="Times New Roman" w:hAnsi="Times New Roman" w:eastAsia="仿宋_GB2312"/>
          <w:color w:val="auto"/>
          <w:sz w:val="32"/>
          <w:szCs w:val="32"/>
          <w:highlight w:val="none"/>
          <w:lang w:val="en-US" w:eastAsia="zh-CN"/>
        </w:rPr>
        <w:t>29.37</w:t>
      </w:r>
      <w:r>
        <w:rPr>
          <w:rFonts w:hint="eastAsia" w:ascii="Times New Roman" w:hAnsi="Times New Roman"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100</w:t>
      </w:r>
      <w:r>
        <w:rPr>
          <w:rFonts w:hint="eastAsia" w:ascii="Times New Roman" w:hAnsi="Times New Roman" w:eastAsia="仿宋_GB2312"/>
          <w:color w:val="auto"/>
          <w:sz w:val="32"/>
          <w:szCs w:val="32"/>
          <w:highlight w:val="none"/>
        </w:rPr>
        <w:t>%,增长的主要原因是</w:t>
      </w:r>
      <w:r>
        <w:rPr>
          <w:rFonts w:hint="eastAsia" w:ascii="Times New Roman" w:hAnsi="Times New Roman" w:eastAsia="仿宋_GB2312"/>
          <w:color w:val="auto"/>
          <w:sz w:val="32"/>
          <w:szCs w:val="32"/>
          <w:highlight w:val="none"/>
          <w:lang w:eastAsia="zh-CN"/>
        </w:rPr>
        <w:t>根据车辆更换需求，</w:t>
      </w:r>
      <w:r>
        <w:rPr>
          <w:rFonts w:hint="eastAsia" w:ascii="Times New Roman" w:hAnsi="Times New Roman" w:eastAsia="仿宋_GB2312"/>
          <w:color w:val="auto"/>
          <w:sz w:val="32"/>
          <w:szCs w:val="32"/>
          <w:highlight w:val="none"/>
          <w:lang w:val="en-US" w:eastAsia="zh-CN"/>
        </w:rPr>
        <w:t>较2021年新增购置1辆公务用车</w:t>
      </w:r>
      <w:r>
        <w:rPr>
          <w:rFonts w:hint="eastAsia" w:ascii="Times New Roman" w:hAnsi="Times New Roman" w:eastAsia="仿宋_GB2312"/>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公务用车运行维护费支出预算为</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1.38</w:t>
      </w:r>
      <w:r>
        <w:rPr>
          <w:rFonts w:hint="eastAsia" w:ascii="Times New Roman" w:hAnsi="Times New Roman" w:eastAsia="仿宋_GB2312"/>
          <w:color w:val="auto"/>
          <w:sz w:val="32"/>
          <w:szCs w:val="32"/>
          <w:highlight w:val="none"/>
        </w:rPr>
        <w:t>万元，完成预算的</w:t>
      </w:r>
      <w:r>
        <w:rPr>
          <w:rFonts w:hint="eastAsia" w:ascii="Times New Roman" w:hAnsi="Times New Roman" w:eastAsia="仿宋_GB2312"/>
          <w:color w:val="auto"/>
          <w:sz w:val="32"/>
          <w:szCs w:val="32"/>
          <w:highlight w:val="none"/>
          <w:lang w:val="en-US" w:eastAsia="zh-CN"/>
        </w:rPr>
        <w:t>69.00%</w:t>
      </w:r>
      <w:r>
        <w:rPr>
          <w:rFonts w:hint="eastAsia" w:ascii="Times New Roman" w:hAnsi="Times New Roman" w:eastAsia="仿宋_GB2312"/>
          <w:color w:val="auto"/>
          <w:sz w:val="32"/>
          <w:szCs w:val="32"/>
          <w:highlight w:val="none"/>
        </w:rPr>
        <w:t>，决算数小于预算数的主要原因是</w:t>
      </w:r>
      <w:r>
        <w:rPr>
          <w:rFonts w:hint="eastAsia" w:ascii="仿宋" w:hAnsi="仿宋" w:eastAsia="仿宋" w:cs="仿宋"/>
          <w:color w:val="auto"/>
          <w:sz w:val="32"/>
          <w:szCs w:val="32"/>
          <w:highlight w:val="none"/>
          <w:lang w:eastAsia="zh-CN"/>
        </w:rPr>
        <w:t>按照“三公”经费管理要求，厉行节约</w:t>
      </w:r>
      <w:r>
        <w:rPr>
          <w:rFonts w:hint="eastAsia" w:ascii="Times New Roman" w:hAnsi="Times New Roman" w:eastAsia="仿宋_GB2312"/>
          <w:color w:val="auto"/>
          <w:sz w:val="32"/>
          <w:szCs w:val="32"/>
          <w:highlight w:val="none"/>
        </w:rPr>
        <w:t>，与上年相比</w:t>
      </w:r>
      <w:r>
        <w:rPr>
          <w:rFonts w:hint="eastAsia" w:ascii="Times New Roman" w:hAnsi="Times New Roman" w:eastAsia="仿宋_GB2312"/>
          <w:color w:val="auto"/>
          <w:sz w:val="32"/>
          <w:szCs w:val="32"/>
          <w:highlight w:val="none"/>
          <w:lang w:val="en-US" w:eastAsia="zh-CN"/>
        </w:rPr>
        <w:t>增加0.84</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val="en-US" w:eastAsia="zh-CN"/>
        </w:rPr>
        <w:t>增加155.56</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增加</w:t>
      </w:r>
      <w:r>
        <w:rPr>
          <w:rFonts w:hint="eastAsia" w:ascii="Times New Roman" w:hAnsi="Times New Roman" w:eastAsia="仿宋_GB2312"/>
          <w:color w:val="auto"/>
          <w:sz w:val="32"/>
          <w:szCs w:val="32"/>
          <w:highlight w:val="none"/>
        </w:rPr>
        <w:t>的主要原因是</w:t>
      </w:r>
      <w:r>
        <w:rPr>
          <w:rFonts w:hint="eastAsia" w:ascii="Times New Roman" w:hAnsi="Times New Roman" w:eastAsia="仿宋_GB2312"/>
          <w:color w:val="auto"/>
          <w:sz w:val="32"/>
          <w:szCs w:val="32"/>
          <w:highlight w:val="none"/>
          <w:lang w:val="en-US" w:eastAsia="zh-CN"/>
        </w:rPr>
        <w:t>本年旧车维修支出</w:t>
      </w:r>
      <w:r>
        <w:rPr>
          <w:rFonts w:hint="eastAsia" w:ascii="仿宋" w:hAnsi="仿宋" w:eastAsia="仿宋" w:cs="仿宋"/>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color w:val="auto"/>
          <w:sz w:val="32"/>
          <w:szCs w:val="32"/>
          <w:highlight w:val="none"/>
        </w:rPr>
      </w:pPr>
      <w:r>
        <w:rPr>
          <w:rFonts w:hint="eastAsia" w:ascii="楷体" w:hAnsi="楷体" w:eastAsia="楷体" w:cs="楷体"/>
          <w:b/>
          <w:bCs w:val="0"/>
          <w:color w:val="auto"/>
          <w:sz w:val="32"/>
          <w:szCs w:val="32"/>
          <w:highlight w:val="none"/>
        </w:rPr>
        <w:t>（二）“三公”经费财政拨款支出决算具体情况说明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年度“三公”经费财政拨款支出决算中，公务接待费支出决算</w:t>
      </w:r>
      <w:r>
        <w:rPr>
          <w:rFonts w:hint="eastAsia" w:ascii="Times New Roman" w:hAnsi="Times New Roman" w:eastAsia="仿宋_GB2312"/>
          <w:color w:val="auto"/>
          <w:sz w:val="32"/>
          <w:szCs w:val="32"/>
          <w:highlight w:val="none"/>
          <w:lang w:val="en-US" w:eastAsia="zh-CN"/>
        </w:rPr>
        <w:t>0.09</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0.29%</w:t>
      </w:r>
      <w:r>
        <w:rPr>
          <w:rFonts w:hint="eastAsia" w:ascii="Times New Roman" w:hAnsi="Times New Roman" w:eastAsia="仿宋_GB2312"/>
          <w:color w:val="auto"/>
          <w:sz w:val="32"/>
          <w:szCs w:val="32"/>
          <w:highlight w:val="none"/>
        </w:rPr>
        <w:t>,,公务用车购置费及运行维护费支出决算</w:t>
      </w:r>
      <w:r>
        <w:rPr>
          <w:rFonts w:hint="eastAsia" w:ascii="Times New Roman" w:hAnsi="Times New Roman" w:eastAsia="仿宋_GB2312"/>
          <w:color w:val="auto"/>
          <w:sz w:val="32"/>
          <w:szCs w:val="32"/>
          <w:highlight w:val="none"/>
          <w:lang w:val="en-US" w:eastAsia="zh-CN"/>
        </w:rPr>
        <w:t>30.75</w:t>
      </w:r>
      <w:r>
        <w:rPr>
          <w:rFonts w:hint="eastAsia" w:ascii="Times New Roman" w:hAnsi="Times New Roman"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99.71%</w:t>
      </w:r>
      <w:r>
        <w:rPr>
          <w:rFonts w:hint="eastAsia" w:ascii="Times New Roman" w:hAnsi="Times New Roman" w:eastAsia="仿宋_GB2312"/>
          <w:color w:val="auto"/>
          <w:sz w:val="32"/>
          <w:szCs w:val="32"/>
          <w:highlight w:val="none"/>
        </w:rPr>
        <w:t>。其中：</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仿宋"/>
          <w:i w:val="0"/>
          <w:iCs w:val="0"/>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因公出国（境）费支出决算为0.00万元，全年安排因公出国（境）团组0个，累计0人次。</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2、公务接待费支出决算为0.09万元，全年共接待来访团组1个、来宾5人次，主要是洛阳少年儿童图书馆来访发生的接待支出。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highlight w:val="none"/>
          <w:lang w:val="en-US" w:eastAsia="zh-CN" w:bidi="ar-SA"/>
        </w:rPr>
      </w:pPr>
      <w:r>
        <w:rPr>
          <w:rFonts w:hint="eastAsia" w:ascii="Times New Roman" w:hAnsi="Times New Roman" w:eastAsia="仿宋_GB2312"/>
          <w:color w:val="auto"/>
          <w:sz w:val="32"/>
          <w:szCs w:val="32"/>
          <w:highlight w:val="none"/>
        </w:rPr>
        <w:t>3、公务用车购置费及运行维护费支出决算为</w:t>
      </w:r>
      <w:r>
        <w:rPr>
          <w:rFonts w:hint="eastAsia" w:ascii="Times New Roman" w:hAnsi="Times New Roman" w:eastAsia="仿宋_GB2312"/>
          <w:color w:val="auto"/>
          <w:sz w:val="32"/>
          <w:szCs w:val="32"/>
          <w:highlight w:val="none"/>
          <w:lang w:val="en-US" w:eastAsia="zh-CN"/>
        </w:rPr>
        <w:t>30.75</w:t>
      </w:r>
      <w:r>
        <w:rPr>
          <w:rFonts w:hint="eastAsia" w:ascii="Times New Roman" w:hAnsi="Times New Roman" w:eastAsia="仿宋_GB2312"/>
          <w:color w:val="auto"/>
          <w:sz w:val="32"/>
          <w:szCs w:val="32"/>
          <w:highlight w:val="none"/>
        </w:rPr>
        <w:t>万元，其中：公务用车购置费</w:t>
      </w:r>
      <w:r>
        <w:rPr>
          <w:rFonts w:hint="eastAsia" w:ascii="Times New Roman" w:hAnsi="Times New Roman" w:eastAsia="仿宋_GB2312"/>
          <w:color w:val="auto"/>
          <w:sz w:val="32"/>
          <w:szCs w:val="32"/>
          <w:highlight w:val="none"/>
          <w:lang w:val="en-US" w:eastAsia="zh-CN"/>
        </w:rPr>
        <w:t>29.37</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val="en-US" w:eastAsia="zh-CN"/>
        </w:rPr>
        <w:t>本馆</w:t>
      </w:r>
      <w:r>
        <w:rPr>
          <w:rFonts w:hint="eastAsia" w:ascii="Times New Roman" w:hAnsi="Times New Roman" w:eastAsia="仿宋_GB2312"/>
          <w:color w:val="auto"/>
          <w:sz w:val="32"/>
          <w:szCs w:val="32"/>
          <w:highlight w:val="none"/>
        </w:rPr>
        <w:t>更新公务用车</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辆。公务用车运行维护费</w:t>
      </w:r>
      <w:r>
        <w:rPr>
          <w:rFonts w:hint="eastAsia" w:ascii="Times New Roman" w:hAnsi="Times New Roman" w:eastAsia="仿宋_GB2312"/>
          <w:color w:val="auto"/>
          <w:sz w:val="32"/>
          <w:szCs w:val="32"/>
          <w:highlight w:val="none"/>
          <w:lang w:val="en-US" w:eastAsia="zh-CN"/>
        </w:rPr>
        <w:t>1.38</w:t>
      </w:r>
      <w:r>
        <w:rPr>
          <w:rFonts w:hint="eastAsia" w:ascii="Times New Roman" w:hAnsi="Times New Roman" w:eastAsia="仿宋_GB2312"/>
          <w:color w:val="auto"/>
          <w:sz w:val="32"/>
          <w:szCs w:val="32"/>
          <w:highlight w:val="none"/>
        </w:rPr>
        <w:t>万元，主要是</w:t>
      </w:r>
      <w:r>
        <w:rPr>
          <w:rFonts w:hint="eastAsia" w:ascii="仿宋" w:hAnsi="仿宋" w:eastAsia="仿宋" w:cs="仿宋"/>
          <w:color w:val="auto"/>
          <w:sz w:val="32"/>
          <w:szCs w:val="32"/>
          <w:highlight w:val="none"/>
        </w:rPr>
        <w:t>公务和业务用车所需车辆燃料费、维修费、过桥过路费、保险费等车辆运行支出</w:t>
      </w:r>
      <w:r>
        <w:rPr>
          <w:rFonts w:hint="eastAsia" w:ascii="Times New Roman" w:hAnsi="Times New Roman" w:eastAsia="仿宋_GB2312"/>
          <w:color w:val="auto"/>
          <w:sz w:val="32"/>
          <w:szCs w:val="32"/>
          <w:highlight w:val="none"/>
        </w:rPr>
        <w:t>，截止202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年12月31日，我单位开支财政拨款的公务用车保有量为</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辆</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其中1辆在走报废程序</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八、政府性基金预算收入支出决算情况</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Arial"/>
          <w:color w:val="auto"/>
          <w:kern w:val="2"/>
          <w:sz w:val="32"/>
          <w:szCs w:val="32"/>
          <w:highlight w:val="none"/>
          <w:lang w:val="en-US" w:eastAsia="zh-CN" w:bidi="ar-SA"/>
        </w:rPr>
      </w:pPr>
      <w:r>
        <w:rPr>
          <w:rFonts w:hint="eastAsia" w:ascii="Times New Roman" w:hAnsi="Times New Roman" w:eastAsia="仿宋_GB2312" w:cs="Arial"/>
          <w:color w:val="auto"/>
          <w:kern w:val="2"/>
          <w:sz w:val="32"/>
          <w:szCs w:val="32"/>
          <w:highlight w:val="none"/>
          <w:lang w:val="en-US" w:eastAsia="zh-CN" w:bidi="ar-SA"/>
        </w:rPr>
        <w:t>我部门没有政府性基金收入，也没有使用政府性基金安排的支出。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color w:val="auto"/>
          <w:sz w:val="32"/>
          <w:szCs w:val="32"/>
          <w:highlight w:val="none"/>
        </w:rPr>
      </w:pPr>
      <w:r>
        <w:rPr>
          <w:rFonts w:hint="eastAsia" w:ascii="Times New Roman" w:hAnsi="Times New Roman" w:eastAsia="仿宋_GB2312"/>
          <w:b/>
          <w:color w:val="auto"/>
          <w:sz w:val="32"/>
          <w:szCs w:val="32"/>
          <w:highlight w:val="none"/>
        </w:rPr>
        <w:t>九、关于机关运行经费支出说明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rPr>
        <w:t>本部门202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年度机关运行经费支出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万元，与年初预算数一致</w:t>
      </w:r>
      <w:r>
        <w:rPr>
          <w:rFonts w:hint="eastAsia" w:ascii="Times New Roman" w:hAnsi="Times New Roman" w:eastAsia="仿宋_GB2312"/>
          <w:color w:val="auto"/>
          <w:sz w:val="32"/>
          <w:szCs w:val="32"/>
          <w:highlight w:val="none"/>
          <w:lang w:val="en-US" w:eastAsia="zh-CN"/>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十、一般性支出情况说明</w:t>
      </w:r>
    </w:p>
    <w:p>
      <w:pPr>
        <w:pStyle w:val="15"/>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年本部门开支会议费</w:t>
      </w:r>
      <w:r>
        <w:rPr>
          <w:rFonts w:hint="eastAsia" w:ascii="Times New Roman" w:hAnsi="Times New Roman" w:eastAsia="仿宋_GB2312"/>
          <w:color w:val="auto"/>
          <w:sz w:val="32"/>
          <w:szCs w:val="32"/>
          <w:highlight w:val="none"/>
          <w:lang w:val="en-US" w:eastAsia="zh-CN"/>
        </w:rPr>
        <w:t>0.00万元。</w:t>
      </w:r>
      <w:r>
        <w:rPr>
          <w:rFonts w:hint="eastAsia" w:ascii="Times New Roman" w:hAnsi="Times New Roman" w:eastAsia="仿宋_GB2312"/>
          <w:color w:val="auto"/>
          <w:sz w:val="32"/>
          <w:szCs w:val="32"/>
          <w:highlight w:val="none"/>
        </w:rPr>
        <w:t>开支培训费</w:t>
      </w:r>
      <w:r>
        <w:rPr>
          <w:rFonts w:hint="eastAsia" w:ascii="Times New Roman" w:hAnsi="Times New Roman" w:eastAsia="仿宋_GB2312"/>
          <w:color w:val="auto"/>
          <w:sz w:val="32"/>
          <w:szCs w:val="32"/>
          <w:highlight w:val="none"/>
          <w:lang w:val="en-US" w:eastAsia="zh-CN"/>
        </w:rPr>
        <w:t>2.86</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人数</w:t>
      </w:r>
      <w:r>
        <w:rPr>
          <w:rFonts w:hint="eastAsia" w:ascii="Times New Roman" w:hAnsi="Times New Roman" w:eastAsia="仿宋_GB2312"/>
          <w:color w:val="auto"/>
          <w:sz w:val="32"/>
          <w:szCs w:val="32"/>
          <w:highlight w:val="none"/>
          <w:lang w:val="en-US" w:eastAsia="zh-CN"/>
        </w:rPr>
        <w:t>57</w:t>
      </w:r>
      <w:r>
        <w:rPr>
          <w:rFonts w:hint="eastAsia" w:ascii="Times New Roman" w:hAnsi="Times New Roman" w:eastAsia="仿宋_GB2312"/>
          <w:color w:val="auto"/>
          <w:sz w:val="32"/>
          <w:szCs w:val="32"/>
          <w:highlight w:val="none"/>
          <w:lang w:eastAsia="zh-CN"/>
        </w:rPr>
        <w:t>人，</w:t>
      </w:r>
      <w:r>
        <w:rPr>
          <w:rFonts w:hint="eastAsia" w:ascii="Times New Roman" w:hAnsi="Times New Roman" w:eastAsia="仿宋_GB2312"/>
          <w:color w:val="auto"/>
          <w:sz w:val="32"/>
          <w:szCs w:val="32"/>
          <w:highlight w:val="none"/>
        </w:rPr>
        <w:t>用于购买党员学习用书等</w:t>
      </w:r>
      <w:r>
        <w:rPr>
          <w:rFonts w:hint="eastAsia" w:ascii="Times New Roman" w:hAnsi="Times New Roman" w:eastAsia="仿宋_GB2312"/>
          <w:color w:val="auto"/>
          <w:sz w:val="32"/>
          <w:szCs w:val="32"/>
          <w:highlight w:val="none"/>
          <w:lang w:val="en-US" w:eastAsia="zh-CN"/>
        </w:rPr>
        <w:t>0.90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用于馆员共需和专业科目培训1.96万元</w:t>
      </w:r>
      <w:r>
        <w:rPr>
          <w:rFonts w:hint="eastAsia" w:ascii="Times New Roman" w:hAnsi="Times New Roman" w:eastAsia="仿宋_GB2312"/>
          <w:color w:val="auto"/>
          <w:sz w:val="32"/>
          <w:szCs w:val="32"/>
          <w:highlight w:val="none"/>
          <w:lang w:eastAsia="zh-CN"/>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十一、关于政府采购支出说明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本部门202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年度政府采购支出总额</w:t>
      </w:r>
      <w:r>
        <w:rPr>
          <w:rFonts w:hint="eastAsia" w:ascii="Times New Roman" w:hAnsi="Times New Roman" w:eastAsia="仿宋_GB2312"/>
          <w:color w:val="auto"/>
          <w:sz w:val="32"/>
          <w:szCs w:val="32"/>
          <w:highlight w:val="none"/>
          <w:lang w:val="en-US" w:eastAsia="zh-CN"/>
        </w:rPr>
        <w:t>345.73</w:t>
      </w:r>
      <w:r>
        <w:rPr>
          <w:rFonts w:hint="eastAsia" w:ascii="Times New Roman" w:hAnsi="Times New Roman" w:eastAsia="仿宋_GB2312"/>
          <w:color w:val="auto"/>
          <w:sz w:val="32"/>
          <w:szCs w:val="32"/>
          <w:highlight w:val="none"/>
        </w:rPr>
        <w:t>万元，其中：政府采购货物支出</w:t>
      </w:r>
      <w:r>
        <w:rPr>
          <w:rFonts w:hint="eastAsia" w:ascii="Times New Roman" w:hAnsi="Times New Roman" w:eastAsia="仿宋_GB2312"/>
          <w:color w:val="auto"/>
          <w:sz w:val="32"/>
          <w:szCs w:val="32"/>
          <w:highlight w:val="none"/>
          <w:lang w:val="en-US" w:eastAsia="zh-CN"/>
        </w:rPr>
        <w:t>197.73</w:t>
      </w:r>
      <w:r>
        <w:rPr>
          <w:rFonts w:hint="eastAsia" w:ascii="Times New Roman" w:hAnsi="Times New Roman" w:eastAsia="仿宋_GB2312"/>
          <w:color w:val="auto"/>
          <w:sz w:val="32"/>
          <w:szCs w:val="32"/>
          <w:highlight w:val="none"/>
        </w:rPr>
        <w:t>万元、政府采购工程支出</w:t>
      </w:r>
      <w:r>
        <w:rPr>
          <w:rFonts w:hint="eastAsia" w:ascii="Times New Roman" w:hAnsi="Times New Roman" w:eastAsia="仿宋_GB2312"/>
          <w:color w:val="auto"/>
          <w:sz w:val="32"/>
          <w:szCs w:val="32"/>
          <w:highlight w:val="none"/>
          <w:lang w:val="en-US" w:eastAsia="zh-CN"/>
        </w:rPr>
        <w:t>22.88</w:t>
      </w:r>
      <w:r>
        <w:rPr>
          <w:rFonts w:hint="eastAsia" w:ascii="Times New Roman" w:hAnsi="Times New Roman" w:eastAsia="仿宋_GB2312"/>
          <w:color w:val="auto"/>
          <w:sz w:val="32"/>
          <w:szCs w:val="32"/>
          <w:highlight w:val="none"/>
        </w:rPr>
        <w:t>万元、政府采购服务支出</w:t>
      </w:r>
      <w:r>
        <w:rPr>
          <w:rFonts w:hint="eastAsia" w:ascii="Times New Roman" w:hAnsi="Times New Roman" w:eastAsia="仿宋_GB2312"/>
          <w:color w:val="auto"/>
          <w:sz w:val="32"/>
          <w:szCs w:val="32"/>
          <w:highlight w:val="none"/>
          <w:lang w:val="en-US" w:eastAsia="zh-CN"/>
        </w:rPr>
        <w:t>123.75</w:t>
      </w:r>
      <w:r>
        <w:rPr>
          <w:rFonts w:hint="eastAsia" w:ascii="Times New Roman" w:hAnsi="Times New Roman" w:eastAsia="仿宋_GB2312"/>
          <w:color w:val="auto"/>
          <w:sz w:val="32"/>
          <w:szCs w:val="32"/>
          <w:highlight w:val="none"/>
        </w:rPr>
        <w:t>万元。授予中小企业合同金额</w:t>
      </w:r>
      <w:r>
        <w:rPr>
          <w:rFonts w:hint="eastAsia" w:ascii="Times New Roman" w:hAnsi="Times New Roman" w:eastAsia="仿宋_GB2312"/>
          <w:color w:val="auto"/>
          <w:sz w:val="32"/>
          <w:szCs w:val="32"/>
          <w:highlight w:val="none"/>
          <w:lang w:val="en-US" w:eastAsia="zh-CN"/>
        </w:rPr>
        <w:t>307.88</w:t>
      </w:r>
      <w:r>
        <w:rPr>
          <w:rFonts w:hint="eastAsia" w:ascii="Times New Roman" w:hAnsi="Times New Roman" w:eastAsia="仿宋_GB2312"/>
          <w:color w:val="auto"/>
          <w:sz w:val="32"/>
          <w:szCs w:val="32"/>
          <w:highlight w:val="none"/>
        </w:rPr>
        <w:t>万元，占政府采购支出总额的</w:t>
      </w:r>
      <w:r>
        <w:rPr>
          <w:rFonts w:hint="eastAsia" w:ascii="Times New Roman" w:hAnsi="Times New Roman" w:eastAsia="仿宋_GB2312"/>
          <w:color w:val="auto"/>
          <w:sz w:val="32"/>
          <w:szCs w:val="32"/>
          <w:highlight w:val="none"/>
          <w:lang w:val="en-US" w:eastAsia="zh-CN"/>
        </w:rPr>
        <w:t>89.05</w:t>
      </w:r>
      <w:r>
        <w:rPr>
          <w:rFonts w:hint="eastAsia" w:ascii="Times New Roman" w:hAnsi="Times New Roman" w:eastAsia="仿宋_GB2312"/>
          <w:color w:val="auto"/>
          <w:sz w:val="32"/>
          <w:szCs w:val="32"/>
          <w:highlight w:val="none"/>
        </w:rPr>
        <w:t>%，其中：授予小微企业合同金额</w:t>
      </w:r>
      <w:r>
        <w:rPr>
          <w:rFonts w:hint="eastAsia" w:ascii="Times New Roman" w:hAnsi="Times New Roman" w:eastAsia="仿宋_GB2312"/>
          <w:color w:val="auto"/>
          <w:sz w:val="32"/>
          <w:szCs w:val="32"/>
          <w:highlight w:val="none"/>
          <w:lang w:val="en-US" w:eastAsia="zh-CN"/>
        </w:rPr>
        <w:t>232.53</w:t>
      </w:r>
      <w:r>
        <w:rPr>
          <w:rFonts w:hint="eastAsia" w:ascii="Times New Roman" w:hAnsi="Times New Roman" w:eastAsia="仿宋_GB2312"/>
          <w:color w:val="auto"/>
          <w:sz w:val="32"/>
          <w:szCs w:val="32"/>
          <w:highlight w:val="none"/>
        </w:rPr>
        <w:t>万元，占授予中小企业合同金额的</w:t>
      </w:r>
      <w:r>
        <w:rPr>
          <w:rFonts w:hint="eastAsia" w:ascii="Times New Roman" w:hAnsi="Times New Roman" w:eastAsia="仿宋_GB2312"/>
          <w:color w:val="auto"/>
          <w:sz w:val="32"/>
          <w:szCs w:val="32"/>
          <w:highlight w:val="none"/>
          <w:lang w:val="en-US" w:eastAsia="zh-CN"/>
        </w:rPr>
        <w:t>75.53</w:t>
      </w:r>
      <w:r>
        <w:rPr>
          <w:rFonts w:hint="eastAsia" w:ascii="Times New Roman" w:hAnsi="Times New Roman" w:eastAsia="仿宋_GB2312"/>
          <w:color w:val="auto"/>
          <w:sz w:val="32"/>
          <w:szCs w:val="32"/>
          <w:highlight w:val="none"/>
        </w:rPr>
        <w:t>%；货物采购授予中小企业合同金额占货物支出金额的</w:t>
      </w:r>
      <w:r>
        <w:rPr>
          <w:rFonts w:hint="eastAsia" w:ascii="Times New Roman" w:hAnsi="Times New Roman" w:eastAsia="仿宋_GB2312"/>
          <w:color w:val="auto"/>
          <w:sz w:val="32"/>
          <w:szCs w:val="32"/>
          <w:highlight w:val="none"/>
          <w:lang w:val="en-US" w:eastAsia="zh-CN"/>
        </w:rPr>
        <w:t>82.71</w:t>
      </w:r>
      <w:r>
        <w:rPr>
          <w:rFonts w:hint="eastAsia" w:ascii="Times New Roman" w:hAnsi="Times New Roman" w:eastAsia="仿宋_GB2312"/>
          <w:color w:val="auto"/>
          <w:sz w:val="32"/>
          <w:szCs w:val="32"/>
          <w:highlight w:val="none"/>
        </w:rPr>
        <w:t>%，工程采购授予中小企业合同金额占工程支出金额的</w:t>
      </w:r>
      <w:r>
        <w:rPr>
          <w:rFonts w:hint="eastAsia" w:ascii="Times New Roman" w:hAnsi="Times New Roman" w:eastAsia="仿宋_GB2312"/>
          <w:color w:val="auto"/>
          <w:sz w:val="32"/>
          <w:szCs w:val="32"/>
          <w:highlight w:val="none"/>
          <w:lang w:val="en-US" w:eastAsia="zh-CN"/>
        </w:rPr>
        <w:t>10</w:t>
      </w:r>
      <w:r>
        <w:rPr>
          <w:rFonts w:hint="eastAsia" w:ascii="Times New Roman" w:hAnsi="Times New Roman" w:eastAsia="仿宋_GB2312"/>
          <w:color w:val="auto"/>
          <w:sz w:val="32"/>
          <w:szCs w:val="32"/>
          <w:highlight w:val="none"/>
        </w:rPr>
        <w:t>0.00%，服务采购授予中小企业合同金额占服务支出金额的</w:t>
      </w:r>
      <w:r>
        <w:rPr>
          <w:rFonts w:hint="eastAsia" w:ascii="Times New Roman" w:hAnsi="Times New Roman" w:eastAsia="仿宋_GB2312"/>
          <w:color w:val="auto"/>
          <w:sz w:val="32"/>
          <w:szCs w:val="32"/>
          <w:highlight w:val="none"/>
          <w:lang w:val="en-US" w:eastAsia="zh-CN"/>
        </w:rPr>
        <w:t>99.79</w:t>
      </w:r>
      <w:r>
        <w:rPr>
          <w:rFonts w:hint="eastAsia" w:ascii="Times New Roman" w:hAnsi="Times New Roman" w:eastAsia="仿宋_GB2312"/>
          <w:color w:val="auto"/>
          <w:sz w:val="32"/>
          <w:szCs w:val="32"/>
          <w:highlight w:val="none"/>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十二、关于国有资产占用情况说明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截至202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年12月31日，本单位共有车辆</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辆</w:t>
      </w:r>
      <w:bookmarkStart w:id="3" w:name="_GoBack"/>
      <w:bookmarkEnd w:id="3"/>
      <w:r>
        <w:rPr>
          <w:rFonts w:hint="eastAsia" w:ascii="Times New Roman" w:hAnsi="Times New Roman" w:eastAsia="仿宋_GB2312"/>
          <w:color w:val="auto"/>
          <w:sz w:val="32"/>
          <w:szCs w:val="32"/>
          <w:highlight w:val="none"/>
        </w:rPr>
        <w:t>，其中，主要领导干部用车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辆，机要通信用车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辆、应急保障用车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辆、执法执勤用车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辆、特种专业技术用车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辆、其他用车</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辆，其他用车主要是</w:t>
      </w:r>
      <w:r>
        <w:rPr>
          <w:rFonts w:hint="eastAsia" w:ascii="仿宋" w:hAnsi="仿宋" w:eastAsia="仿宋" w:cs="仿宋"/>
          <w:color w:val="auto"/>
          <w:sz w:val="32"/>
          <w:szCs w:val="32"/>
          <w:highlight w:val="none"/>
        </w:rPr>
        <w:t>公务用车</w:t>
      </w:r>
      <w:r>
        <w:rPr>
          <w:rFonts w:hint="eastAsia" w:ascii="Times New Roman" w:hAnsi="Times New Roman" w:eastAsia="仿宋_GB2312"/>
          <w:color w:val="auto"/>
          <w:sz w:val="32"/>
          <w:szCs w:val="32"/>
          <w:highlight w:val="none"/>
        </w:rPr>
        <w:t>；单位价值50万元以上通用设备</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台（套）；单位价值100万元以上专用设备</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台（套）。</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十三、关于</w:t>
      </w:r>
      <w:r>
        <w:rPr>
          <w:rFonts w:hint="eastAsia" w:ascii="Times New Roman" w:hAnsi="Times New Roman" w:eastAsia="仿宋_GB2312"/>
          <w:color w:val="auto"/>
          <w:sz w:val="32"/>
          <w:szCs w:val="32"/>
          <w:highlight w:val="none"/>
        </w:rPr>
        <w:t>202</w:t>
      </w:r>
      <w:r>
        <w:rPr>
          <w:rFonts w:hint="eastAsia" w:ascii="Times New Roman" w:hAnsi="Times New Roman" w:eastAsia="仿宋_GB2312"/>
          <w:color w:val="auto"/>
          <w:sz w:val="32"/>
          <w:szCs w:val="32"/>
          <w:highlight w:val="none"/>
          <w:lang w:val="en-US" w:eastAsia="zh-CN"/>
        </w:rPr>
        <w:t>2</w:t>
      </w:r>
      <w:r>
        <w:rPr>
          <w:rFonts w:hint="eastAsia" w:ascii="黑体" w:hAnsi="黑体" w:eastAsia="黑体" w:cs="黑体"/>
          <w:b w:val="0"/>
          <w:bCs/>
          <w:color w:val="auto"/>
          <w:sz w:val="32"/>
          <w:szCs w:val="32"/>
          <w:highlight w:val="none"/>
        </w:rPr>
        <w:t>年度预算绩效情况的说明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本单位202</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年度绩效评价已纳入省文化和旅游厅部门整体绩效评价，绩效报告情况见省文旅厅公示网页。</w:t>
      </w:r>
    </w:p>
    <w:p>
      <w:pPr>
        <w:pStyle w:val="15"/>
        <w:jc w:val="center"/>
        <w:rPr>
          <w:color w:val="auto"/>
          <w:sz w:val="72"/>
          <w:szCs w:val="72"/>
          <w:highlight w:val="none"/>
        </w:rPr>
      </w:pPr>
    </w:p>
    <w:p>
      <w:pPr>
        <w:pStyle w:val="15"/>
        <w:jc w:val="both"/>
        <w:rPr>
          <w:rFonts w:hint="eastAsia" w:ascii="方正小标宋_GBK" w:hAnsi="方正小标宋_GBK" w:eastAsia="方正小标宋_GBK" w:cs="方正小标宋_GBK"/>
          <w:color w:val="auto"/>
          <w:sz w:val="72"/>
          <w:szCs w:val="72"/>
          <w:highlight w:val="none"/>
        </w:rPr>
      </w:pPr>
    </w:p>
    <w:p>
      <w:pPr>
        <w:pStyle w:val="15"/>
        <w:jc w:val="center"/>
        <w:rPr>
          <w:rFonts w:hint="eastAsia" w:ascii="方正小标宋_GBK" w:hAnsi="方正小标宋_GBK" w:eastAsia="方正小标宋_GBK" w:cs="方正小标宋_GBK"/>
          <w:color w:val="auto"/>
          <w:sz w:val="72"/>
          <w:szCs w:val="72"/>
          <w:highlight w:val="none"/>
        </w:rPr>
      </w:pPr>
    </w:p>
    <w:p>
      <w:pPr>
        <w:pStyle w:val="15"/>
        <w:jc w:val="center"/>
        <w:rPr>
          <w:rFonts w:hint="eastAsia" w:ascii="方正小标宋_GBK" w:hAnsi="方正小标宋_GBK" w:eastAsia="方正小标宋_GBK" w:cs="方正小标宋_GBK"/>
          <w:color w:val="auto"/>
          <w:sz w:val="72"/>
          <w:szCs w:val="72"/>
          <w:highlight w:val="none"/>
        </w:rPr>
      </w:pPr>
    </w:p>
    <w:p>
      <w:pPr>
        <w:pStyle w:val="15"/>
        <w:jc w:val="center"/>
        <w:rPr>
          <w:rFonts w:hint="eastAsia" w:ascii="方正小标宋_GBK" w:hAnsi="方正小标宋_GBK" w:eastAsia="方正小标宋_GBK" w:cs="方正小标宋_GBK"/>
          <w:color w:val="auto"/>
          <w:sz w:val="72"/>
          <w:szCs w:val="72"/>
          <w:highlight w:val="none"/>
        </w:rPr>
      </w:pPr>
      <w:r>
        <w:rPr>
          <w:rFonts w:hint="eastAsia" w:ascii="方正小标宋_GBK" w:hAnsi="方正小标宋_GBK" w:eastAsia="方正小标宋_GBK" w:cs="方正小标宋_GBK"/>
          <w:color w:val="auto"/>
          <w:sz w:val="72"/>
          <w:szCs w:val="72"/>
          <w:highlight w:val="none"/>
        </w:rPr>
        <w:t>第四部分</w:t>
      </w:r>
    </w:p>
    <w:p>
      <w:pPr>
        <w:jc w:val="center"/>
        <w:rPr>
          <w:rFonts w:hint="eastAsia" w:ascii="方正小标宋_GBK" w:hAnsi="方正小标宋_GBK" w:eastAsia="方正小标宋_GBK" w:cs="方正小标宋_GBK"/>
          <w:color w:val="auto"/>
          <w:kern w:val="0"/>
          <w:sz w:val="70"/>
          <w:szCs w:val="70"/>
          <w:highlight w:val="none"/>
        </w:rPr>
      </w:pPr>
    </w:p>
    <w:p>
      <w:pPr>
        <w:jc w:val="center"/>
        <w:rPr>
          <w:rFonts w:hint="eastAsia" w:ascii="方正小标宋_GBK" w:hAnsi="方正小标宋_GBK" w:eastAsia="方正小标宋_GBK" w:cs="方正小标宋_GBK"/>
          <w:color w:val="auto"/>
          <w:kern w:val="0"/>
          <w:sz w:val="70"/>
          <w:szCs w:val="70"/>
          <w:highlight w:val="none"/>
        </w:rPr>
      </w:pPr>
      <w:r>
        <w:rPr>
          <w:rFonts w:hint="eastAsia" w:ascii="方正小标宋_GBK" w:hAnsi="方正小标宋_GBK" w:eastAsia="方正小标宋_GBK" w:cs="方正小标宋_GBK"/>
          <w:color w:val="auto"/>
          <w:kern w:val="0"/>
          <w:sz w:val="70"/>
          <w:szCs w:val="70"/>
          <w:highlight w:val="none"/>
        </w:rPr>
        <w:t>名词解释</w:t>
      </w:r>
    </w:p>
    <w:p>
      <w:pPr>
        <w:widowControl/>
        <w:jc w:val="left"/>
        <w:rPr>
          <w:rFonts w:ascii="宋体" w:hAnsi="宋体" w:cs="黑体"/>
          <w:color w:val="auto"/>
          <w:kern w:val="0"/>
          <w:sz w:val="32"/>
          <w:szCs w:val="32"/>
          <w:highlight w:val="none"/>
        </w:rPr>
      </w:pPr>
      <w:r>
        <w:rPr>
          <w:color w:val="auto"/>
          <w:highlight w:val="none"/>
        </w:rPr>
        <w:br w:type="page"/>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1、财政拨款收入：指省级财政当年拨付的资金。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2、其他收入：指除“财政拨款收入”以外的收入。主要是上级单位拨款、存款利息收入等。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基本支出：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5、年初结转和结余：指以前年度尚未完成、结转到本年仍按原规定用途继续使用的资金，或项目已完成等产生的结余资金。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6、年末结转和结余：指单位按有关规定结转到下年或以后年度继续使用的资金。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7、“三公”经费：纳入财政预决算管理的“三公”经费，是指用财政拨款安排的因公出国(境)费、公务用车购置及运行费和公务接待费。其中，因公出国(境)费反映单位因公务出国(境)的国际旅费、国外城市间交通费、住宿费、伙食费、培训费、公杂费等支出；公务用车购置及运行费反映单位因公务用车车辆购置支出(含车辆购置税)及租用费、燃料费、维修费、过路过桥费、保险费、安全奖励费用等支出；公务接待费反映单位按中央和省委省政府相关规定开支的各类公务接待(含外宾接待)支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color w:val="auto"/>
          <w:sz w:val="72"/>
          <w:szCs w:val="72"/>
          <w:highlight w:val="none"/>
        </w:rPr>
      </w:pPr>
      <w:r>
        <w:rPr>
          <w:rFonts w:hint="eastAsia" w:ascii="仿宋" w:hAnsi="仿宋" w:eastAsia="仿宋" w:cs="仿宋"/>
          <w:color w:val="auto"/>
          <w:kern w:val="0"/>
          <w:sz w:val="32"/>
          <w:szCs w:val="32"/>
          <w:highlight w:val="none"/>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w:t>
      </w:r>
    </w:p>
    <w:p>
      <w:pPr>
        <w:pStyle w:val="15"/>
        <w:jc w:val="center"/>
        <w:rPr>
          <w:color w:val="auto"/>
          <w:sz w:val="72"/>
          <w:szCs w:val="72"/>
          <w:highlight w:val="none"/>
        </w:rPr>
      </w:pPr>
    </w:p>
    <w:p>
      <w:pPr>
        <w:pStyle w:val="15"/>
        <w:jc w:val="center"/>
        <w:rPr>
          <w:color w:val="auto"/>
          <w:sz w:val="72"/>
          <w:szCs w:val="72"/>
          <w:highlight w:val="none"/>
        </w:rPr>
      </w:pPr>
    </w:p>
    <w:p>
      <w:pPr>
        <w:pStyle w:val="15"/>
        <w:jc w:val="center"/>
        <w:rPr>
          <w:color w:val="auto"/>
          <w:sz w:val="72"/>
          <w:szCs w:val="72"/>
          <w:highlight w:val="none"/>
        </w:rPr>
      </w:pPr>
    </w:p>
    <w:p>
      <w:pPr>
        <w:pStyle w:val="15"/>
        <w:jc w:val="center"/>
        <w:rPr>
          <w:color w:val="auto"/>
          <w:sz w:val="72"/>
          <w:szCs w:val="72"/>
          <w:highlight w:val="none"/>
        </w:rPr>
      </w:pPr>
    </w:p>
    <w:p>
      <w:pPr>
        <w:jc w:val="left"/>
        <w:rPr>
          <w:rFonts w:ascii="宋体" w:hAnsi="宋体" w:cs="黑体"/>
          <w:color w:val="auto"/>
          <w:kern w:val="0"/>
          <w:sz w:val="32"/>
          <w:szCs w:val="32"/>
          <w:highlight w:val="none"/>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_GB2312">
    <w:altName w:val="楷体"/>
    <w:panose1 w:val="020106090300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YzVkMjU1M2E1MjhjMGYwMzY2Mjc3Y2NhZTExNTEifQ=="/>
  </w:docVars>
  <w:rsids>
    <w:rsidRoot w:val="00000000"/>
    <w:rsid w:val="0F9B000F"/>
    <w:rsid w:val="15A24B3A"/>
    <w:rsid w:val="1A037B71"/>
    <w:rsid w:val="1D7E15C8"/>
    <w:rsid w:val="1E8F1514"/>
    <w:rsid w:val="42552DB0"/>
    <w:rsid w:val="42CB31B4"/>
    <w:rsid w:val="43B65F14"/>
    <w:rsid w:val="46FC106E"/>
    <w:rsid w:val="4A471455"/>
    <w:rsid w:val="51FC4FF6"/>
    <w:rsid w:val="596C2A61"/>
    <w:rsid w:val="5F544763"/>
    <w:rsid w:val="640B2E77"/>
    <w:rsid w:val="65235E27"/>
    <w:rsid w:val="673F78FB"/>
    <w:rsid w:val="6D7B2059"/>
    <w:rsid w:val="765222BE"/>
    <w:rsid w:val="7FFF4492"/>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spacing w:beforeAutospacing="0" w:afterAutospacing="0" w:line="600" w:lineRule="exact"/>
      <w:ind w:firstLine="880" w:firstLineChars="200"/>
      <w:outlineLvl w:val="0"/>
    </w:pPr>
    <w:rPr>
      <w:rFonts w:eastAsia="黑体"/>
      <w:b/>
      <w:kern w:val="44"/>
      <w:sz w:val="32"/>
    </w:rPr>
  </w:style>
  <w:style w:type="paragraph" w:styleId="4">
    <w:name w:val="heading 2"/>
    <w:basedOn w:val="1"/>
    <w:next w:val="1"/>
    <w:qFormat/>
    <w:uiPriority w:val="9"/>
    <w:pPr>
      <w:keepLines/>
      <w:spacing w:line="600" w:lineRule="exact"/>
      <w:ind w:firstLine="880" w:firstLineChars="200"/>
      <w:jc w:val="both"/>
      <w:outlineLvl w:val="1"/>
    </w:pPr>
    <w:rPr>
      <w:rFonts w:ascii="Calibri Light" w:hAnsi="Calibri Light" w:eastAsia="楷体_GB2312"/>
      <w:b/>
      <w:bCs/>
      <w:sz w:val="32"/>
      <w:szCs w:val="32"/>
    </w:rPr>
  </w:style>
  <w:style w:type="paragraph" w:styleId="5">
    <w:name w:val="heading 3"/>
    <w:basedOn w:val="1"/>
    <w:next w:val="1"/>
    <w:link w:val="21"/>
    <w:qFormat/>
    <w:uiPriority w:val="0"/>
    <w:pPr>
      <w:keepNext/>
      <w:keepLines/>
      <w:spacing w:beforeAutospacing="0" w:afterAutospacing="0" w:line="600" w:lineRule="exact"/>
      <w:outlineLvl w:val="2"/>
    </w:pPr>
    <w:rPr>
      <w:b/>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样式 文字 + 首行缩进:  2 字符3"/>
    <w:qFormat/>
    <w:uiPriority w:val="0"/>
    <w:pPr>
      <w:widowControl w:val="0"/>
      <w:autoSpaceDE w:val="0"/>
      <w:autoSpaceDN w:val="0"/>
      <w:spacing w:line="360" w:lineRule="auto"/>
    </w:pPr>
    <w:rPr>
      <w:rFonts w:ascii="等线" w:hAnsi="等线" w:eastAsia="等线" w:cs="等线"/>
      <w:sz w:val="28"/>
      <w:szCs w:val="28"/>
      <w:lang w:val="zh-CN" w:eastAsia="zh-CN" w:bidi="ar-SA"/>
    </w:rPr>
  </w:style>
  <w:style w:type="paragraph" w:styleId="6">
    <w:name w:val="Balloon Text"/>
    <w:basedOn w:val="1"/>
    <w:link w:val="17"/>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table" w:styleId="11">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批注框文本 Char"/>
    <w:basedOn w:val="12"/>
    <w:link w:val="6"/>
    <w:qFormat/>
    <w:uiPriority w:val="99"/>
    <w:rPr>
      <w:sz w:val="18"/>
      <w:szCs w:val="18"/>
    </w:rPr>
  </w:style>
  <w:style w:type="character" w:customStyle="1" w:styleId="18">
    <w:name w:val="font01"/>
    <w:basedOn w:val="12"/>
    <w:qFormat/>
    <w:uiPriority w:val="0"/>
    <w:rPr>
      <w:rFonts w:hint="eastAsia" w:ascii="宋体" w:hAnsi="宋体" w:eastAsia="宋体" w:cs="宋体"/>
      <w:color w:val="000000"/>
      <w:sz w:val="22"/>
      <w:szCs w:val="22"/>
      <w:u w:val="none"/>
    </w:rPr>
  </w:style>
  <w:style w:type="character" w:customStyle="1" w:styleId="19">
    <w:name w:val="font21"/>
    <w:basedOn w:val="12"/>
    <w:qFormat/>
    <w:uiPriority w:val="0"/>
    <w:rPr>
      <w:rFonts w:hint="eastAsia" w:ascii="宋体" w:hAnsi="宋体" w:eastAsia="宋体" w:cs="宋体"/>
      <w:color w:val="000000"/>
      <w:sz w:val="24"/>
      <w:szCs w:val="24"/>
      <w:u w:val="none"/>
    </w:rPr>
  </w:style>
  <w:style w:type="character" w:customStyle="1" w:styleId="20">
    <w:name w:val="font11"/>
    <w:basedOn w:val="12"/>
    <w:qFormat/>
    <w:uiPriority w:val="0"/>
    <w:rPr>
      <w:rFonts w:hint="eastAsia" w:ascii="宋体" w:hAnsi="宋体" w:eastAsia="宋体" w:cs="宋体"/>
      <w:color w:val="000000"/>
      <w:sz w:val="24"/>
      <w:szCs w:val="24"/>
      <w:u w:val="none"/>
    </w:rPr>
  </w:style>
  <w:style w:type="character" w:customStyle="1" w:styleId="21">
    <w:name w:val="标题 3 Char"/>
    <w:link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56</Pages>
  <Words>24133</Words>
  <Characters>33058</Characters>
  <Paragraphs>3452</Paragraphs>
  <TotalTime>472</TotalTime>
  <ScaleCrop>false</ScaleCrop>
  <LinksUpToDate>false</LinksUpToDate>
  <CharactersWithSpaces>33770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2020-07-05T02:32:00Z</dcterms:created>
  <dc:creator>李航 null</dc:creator>
  <cp:lastModifiedBy>勇敢的龙龙</cp:lastModifiedBy>
  <cp:lastPrinted>2023-09-19T08:29:00Z</cp:lastPrinted>
  <dcterms:modified xsi:type="dcterms:W3CDTF">2023-09-19T08:32:21Z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C5A4E4C2B9B24E05B8DD1764F973E1C7_13</vt:lpwstr>
  </property>
</Properties>
</file>