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湖南省少年儿童图书馆</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第一部分湖南省少年儿童图书馆概况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湖南省少年儿童图书馆概况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保存借阅图书资料、促进社会经济文化发展；图书、文献、报刊、音像资料采编与储藏；图书资料借阅；图书资料网络系统设计、管理、文献数字化处理；图书馆学研究；图书、期刊资料编辑出版；知识培训及社会教育及相关社会服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湖南省少年儿童图书馆为湖南省文化和旅游厅下属二级独立核算预算单位。现有内设机构十个，分别为：借阅服务部、数字服务部、采编服务部、阅研阅创部、业务管理部、宣传推广部、党群工作部、人事部、财务部、行政后勤部。</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（二）决算单位构成。湖南省少年儿童图书馆</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20年部门决算汇总公开单位构成包括：湖南省少年儿童图书馆本级。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湖南省少年儿童图书馆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1876.19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1630.65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117.22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4.49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46.87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2"/>
              </w:rPr>
              <w:t>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ind w:firstLine="880" w:firstLineChars="400"/>
              <w:jc w:val="right"/>
              <w:rPr>
                <w:rFonts w:ascii="宋体" w:hAnsi="宋体" w:eastAsia="宋体" w:cs="宋体"/>
                <w:b/>
                <w:bCs/>
                <w:kern w:val="0"/>
                <w:sz w:val="22"/>
              </w:rPr>
            </w:pPr>
            <w:r>
              <w:rPr>
                <w:rFonts w:hint="eastAsia" w:ascii="宋体" w:hAnsi="宋体" w:eastAsia="宋体" w:cs="宋体"/>
                <w:b/>
                <w:bCs/>
                <w:kern w:val="0"/>
                <w:sz w:val="22"/>
              </w:rPr>
              <w:t>　</w:t>
            </w:r>
            <w:r>
              <w:rPr>
                <w:rFonts w:hint="eastAsia" w:ascii="宋体" w:hAnsi="宋体" w:eastAsia="宋体" w:cs="宋体"/>
                <w:kern w:val="0"/>
                <w:sz w:val="22"/>
              </w:rPr>
              <w:t>91.40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rPr>
              <w:t>1880.68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b/>
                <w:bCs/>
                <w:kern w:val="0"/>
                <w:sz w:val="22"/>
              </w:rPr>
              <w:t>1888.14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23.09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355.26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370.89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bCs/>
                <w:kern w:val="0"/>
                <w:sz w:val="22"/>
              </w:rPr>
              <w:t>2259.02</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b/>
                <w:bCs/>
                <w:kern w:val="0"/>
                <w:sz w:val="22"/>
              </w:rPr>
              <w:t>　2259.02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62"/>
        <w:gridCol w:w="760"/>
        <w:gridCol w:w="3072"/>
        <w:gridCol w:w="2131"/>
        <w:gridCol w:w="2131"/>
        <w:gridCol w:w="1343"/>
        <w:gridCol w:w="1343"/>
        <w:gridCol w:w="1344"/>
        <w:gridCol w:w="1344"/>
        <w:gridCol w:w="189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4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82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30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rPr>
              <w:t>湖南省少年儿童图书馆</w:t>
            </w:r>
            <w:r>
              <w:rPr>
                <w:rFonts w:hint="eastAsia"/>
              </w:rPr>
              <w:t>　</w:t>
            </w:r>
          </w:p>
        </w:tc>
        <w:tc>
          <w:tcPr>
            <w:tcW w:w="21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3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89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213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1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2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07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82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07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8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213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13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3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3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4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34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9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88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1,880.68</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1,876.19</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4.49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205</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pPr>
            <w:r>
              <w:rPr>
                <w:rFonts w:hint="eastAsia"/>
              </w:rPr>
              <w:t>教育支出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20508</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进修及培训</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2050803</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培训支出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207</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1,623.19</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1,618.70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4.49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20701</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文化和旅游</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1,219.19</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1,214.70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4.49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2070104</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图书馆</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1,199.19</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1,194.70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4.49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2070199</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其他文化和旅游支出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20.00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20799</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其他文化旅游体育与传媒支出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404.00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404.00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2079999</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其他文化旅游体育与传媒支出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404.00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404.00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208</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社会保障和就业支持</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20805</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行政事业单位养老支出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2080505</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机关事业单位基本养老保险缴费支出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20808</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抚恤</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2080801</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死亡抚恤</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210</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卫生健康支出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21011</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行政事业单位医疗</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2101102</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r>
              <w:rPr>
                <w:rFonts w:hint="eastAsia"/>
              </w:rPr>
              <w:t xml:space="preserve">  事业单位医疗</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221</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住房保障支出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住房改革支出</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2210201</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住房公积金</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450" w:hRule="atLeast"/>
        </w:trPr>
        <w:tc>
          <w:tcPr>
            <w:tcW w:w="82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2210203</w:t>
            </w:r>
          </w:p>
        </w:tc>
        <w:tc>
          <w:tcPr>
            <w:tcW w:w="30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购房补贴</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213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13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8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autofit"/>
        <w:tblCellMar>
          <w:top w:w="0" w:type="dxa"/>
          <w:left w:w="108" w:type="dxa"/>
          <w:bottom w:w="0" w:type="dxa"/>
          <w:right w:w="108" w:type="dxa"/>
        </w:tblCellMar>
      </w:tblPr>
      <w:tblGrid>
        <w:gridCol w:w="1042"/>
        <w:gridCol w:w="222"/>
        <w:gridCol w:w="1249"/>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895"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湖南省少年儿童图书馆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2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1,888.14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1,134.07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754.07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205</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教育支出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20508</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进修及培训</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2050803</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培训支出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207</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1,630.65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877.58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753.07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20701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文化和旅游</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1,304.40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765.58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538.82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2070104</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图书馆</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1,287.41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765.58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521.82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2070199</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16.99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16.99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20799</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326.25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214.25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2079999</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其他文化旅游体育与传媒支出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326.25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214.25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208</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20805</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2080505</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20808</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2080801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210</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21011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2101102</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221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22102</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b/>
                <w:bCs/>
                <w:color w:val="000000"/>
                <w:kern w:val="0"/>
                <w:sz w:val="20"/>
                <w:szCs w:val="20"/>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2210201</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2210203</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0"/>
                <w:szCs w:val="20"/>
              </w:rPr>
              <w:t xml:space="preserve">  购房补贴</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1"/>
        <w:gridCol w:w="436"/>
        <w:gridCol w:w="1235"/>
        <w:gridCol w:w="3266"/>
        <w:gridCol w:w="631"/>
        <w:gridCol w:w="435"/>
        <w:gridCol w:w="1571"/>
        <w:gridCol w:w="1392"/>
        <w:gridCol w:w="1392"/>
        <w:gridCol w:w="1572"/>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部门：湖南省少年儿童图书馆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6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59"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1,876.19</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1392"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1,603.07</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1,603.07</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七、卫生健康支出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1,876.19</w:t>
            </w:r>
          </w:p>
        </w:tc>
        <w:tc>
          <w:tcPr>
            <w:tcW w:w="32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1,860.56</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1,860.56</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355.26</w:t>
            </w:r>
          </w:p>
        </w:tc>
        <w:tc>
          <w:tcPr>
            <w:tcW w:w="32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370.89</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370.89</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355.26</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2,231.45</w:t>
            </w:r>
          </w:p>
        </w:tc>
        <w:tc>
          <w:tcPr>
            <w:tcW w:w="3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2,231.45</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2,231.45</w:t>
            </w:r>
          </w:p>
        </w:tc>
        <w:tc>
          <w:tcPr>
            <w:tcW w:w="13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15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湖南省少年儿童图书馆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1,860.56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1,132.69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727.87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20508</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进修及培训</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2050803</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培训支出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207</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1,603.07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876.20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726.87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20701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文化和旅游</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1,276.82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764.20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512.62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2070104</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图书馆</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1,259.83</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764.20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495.63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2070199</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16.99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16.99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20799</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326.25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112.00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214.25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2079999</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326.25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112.00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214.25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208</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117.22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20805</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2080505</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81.00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20808</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抚恤</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2080801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死亡抚恤</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36.22</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210</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21011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2101102</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46.87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221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22102</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0"/>
                <w:szCs w:val="20"/>
              </w:rPr>
              <w:t>住房改革支出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91.40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2210201</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住房公积金</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72.00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2210203</w:t>
            </w:r>
          </w:p>
        </w:tc>
        <w:tc>
          <w:tcPr>
            <w:tcW w:w="352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0"/>
                <w:szCs w:val="20"/>
              </w:rPr>
              <w:t xml:space="preserve">  购房补贴</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19.40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8"/>
        <w:gridCol w:w="3226"/>
        <w:gridCol w:w="1721"/>
        <w:gridCol w:w="718"/>
        <w:gridCol w:w="2222"/>
        <w:gridCol w:w="741"/>
        <w:gridCol w:w="718"/>
        <w:gridCol w:w="4028"/>
        <w:gridCol w:w="9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838.17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60.28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244.19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0.58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46.36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0.84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1.95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318.67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80.04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5.00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0.50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57.68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5.34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17.29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72.00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3.08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234.24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11.44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16.29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61.24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58.13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1.05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21.00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49.12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0.54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ascii="宋体" w:hAnsi="宋体" w:eastAsia="宋体" w:cs="宋体"/>
                <w:kern w:val="0"/>
                <w:sz w:val="22"/>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1.04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733"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38.02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0.00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6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2"/>
              </w:rPr>
            </w:pPr>
            <w:r>
              <w:rPr>
                <w:rFonts w:ascii="宋体" w:hAnsi="宋体" w:eastAsia="宋体" w:cs="宋体"/>
                <w:kern w:val="0"/>
                <w:sz w:val="22"/>
              </w:rPr>
              <w:t xml:space="preserve">15.30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1072.41072.41</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60.28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3.00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2.00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2.00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1.00</w:t>
            </w:r>
          </w:p>
        </w:tc>
        <w:tc>
          <w:tcPr>
            <w:tcW w:w="1220" w:type="dxa"/>
            <w:tcBorders>
              <w:top w:val="nil"/>
              <w:left w:val="nil"/>
              <w:bottom w:val="single" w:color="auto" w:sz="8" w:space="0"/>
              <w:right w:val="single" w:color="auto" w:sz="4" w:space="0"/>
            </w:tcBorders>
            <w:shd w:val="clear" w:color="auto" w:fill="auto"/>
            <w:vAlign w:val="bottom"/>
          </w:tcPr>
          <w:p>
            <w:pPr>
              <w:widowControl/>
              <w:jc w:val="right"/>
              <w:rPr>
                <w:rFonts w:ascii="宋体" w:hAnsi="宋体" w:eastAsia="宋体" w:cs="宋体"/>
                <w:kern w:val="0"/>
                <w:sz w:val="22"/>
              </w:rPr>
            </w:pPr>
            <w:r>
              <w:rPr>
                <w:rFonts w:ascii="宋体" w:hAnsi="宋体" w:eastAsia="宋体" w:cs="宋体"/>
                <w:kern w:val="0"/>
                <w:sz w:val="22"/>
              </w:rPr>
              <w:t xml:space="preserve">0.69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　0.00</w:t>
            </w:r>
          </w:p>
        </w:tc>
        <w:tc>
          <w:tcPr>
            <w:tcW w:w="1220" w:type="dxa"/>
            <w:tcBorders>
              <w:top w:val="nil"/>
              <w:left w:val="nil"/>
              <w:bottom w:val="single" w:color="auto" w:sz="8" w:space="0"/>
              <w:right w:val="single" w:color="auto" w:sz="4" w:space="0"/>
            </w:tcBorders>
            <w:shd w:val="clear" w:color="auto" w:fill="auto"/>
            <w:vAlign w:val="bottom"/>
          </w:tcPr>
          <w:p>
            <w:pPr>
              <w:widowControl/>
              <w:jc w:val="right"/>
              <w:rPr>
                <w:rFonts w:ascii="宋体" w:hAnsi="宋体" w:eastAsia="宋体" w:cs="宋体"/>
                <w:kern w:val="0"/>
                <w:sz w:val="22"/>
              </w:rPr>
            </w:pPr>
            <w:r>
              <w:rPr>
                <w:rFonts w:ascii="宋体" w:hAnsi="宋体" w:eastAsia="宋体" w:cs="宋体"/>
                <w:kern w:val="0"/>
                <w:sz w:val="22"/>
              </w:rPr>
              <w:t xml:space="preserve">0.54 </w:t>
            </w:r>
          </w:p>
        </w:tc>
        <w:tc>
          <w:tcPr>
            <w:tcW w:w="1220" w:type="dxa"/>
            <w:tcBorders>
              <w:top w:val="nil"/>
              <w:left w:val="nil"/>
              <w:bottom w:val="single" w:color="auto" w:sz="8" w:space="0"/>
              <w:right w:val="single" w:color="auto" w:sz="4" w:space="0"/>
            </w:tcBorders>
            <w:shd w:val="clear" w:color="auto" w:fill="auto"/>
            <w:vAlign w:val="bottom"/>
          </w:tcPr>
          <w:p>
            <w:pPr>
              <w:widowControl/>
              <w:jc w:val="right"/>
              <w:rPr>
                <w:rFonts w:ascii="宋体" w:hAnsi="宋体" w:eastAsia="宋体" w:cs="宋体"/>
                <w:kern w:val="0"/>
                <w:sz w:val="22"/>
              </w:rPr>
            </w:pPr>
            <w:r>
              <w:rPr>
                <w:rFonts w:hint="eastAsia" w:ascii="宋体" w:hAnsi="宋体" w:eastAsia="宋体" w:cs="宋体"/>
                <w:kern w:val="0"/>
                <w:sz w:val="22"/>
              </w:rPr>
              <w:t>0.00</w:t>
            </w:r>
            <w:r>
              <w:rPr>
                <w:rFonts w:ascii="宋体" w:hAnsi="宋体" w:eastAsia="宋体" w:cs="宋体"/>
                <w:kern w:val="0"/>
                <w:sz w:val="22"/>
              </w:rPr>
              <w:t xml:space="preserve"> </w:t>
            </w:r>
          </w:p>
        </w:tc>
        <w:tc>
          <w:tcPr>
            <w:tcW w:w="1220" w:type="dxa"/>
            <w:tcBorders>
              <w:top w:val="nil"/>
              <w:left w:val="nil"/>
              <w:bottom w:val="single" w:color="auto" w:sz="8" w:space="0"/>
              <w:right w:val="nil"/>
            </w:tcBorders>
            <w:shd w:val="clear" w:color="auto" w:fill="auto"/>
            <w:vAlign w:val="bottom"/>
          </w:tcPr>
          <w:p>
            <w:pPr>
              <w:widowControl/>
              <w:jc w:val="right"/>
              <w:rPr>
                <w:rFonts w:ascii="宋体" w:hAnsi="宋体" w:eastAsia="宋体" w:cs="宋体"/>
                <w:kern w:val="0"/>
                <w:sz w:val="22"/>
              </w:rPr>
            </w:pPr>
            <w:r>
              <w:rPr>
                <w:rFonts w:ascii="宋体" w:hAnsi="宋体" w:eastAsia="宋体" w:cs="宋体"/>
                <w:kern w:val="0"/>
                <w:sz w:val="22"/>
              </w:rPr>
              <w:t xml:space="preserve">0.54 </w:t>
            </w:r>
          </w:p>
        </w:tc>
        <w:tc>
          <w:tcPr>
            <w:tcW w:w="1220" w:type="dxa"/>
            <w:tcBorders>
              <w:top w:val="nil"/>
              <w:left w:val="single" w:color="auto" w:sz="4" w:space="0"/>
              <w:bottom w:val="single" w:color="auto" w:sz="8" w:space="0"/>
              <w:right w:val="single" w:color="auto" w:sz="8" w:space="0"/>
            </w:tcBorders>
            <w:shd w:val="clear" w:color="auto" w:fill="auto"/>
            <w:vAlign w:val="bottom"/>
          </w:tcPr>
          <w:p>
            <w:pPr>
              <w:widowControl/>
              <w:jc w:val="right"/>
              <w:rPr>
                <w:rFonts w:ascii="宋体" w:hAnsi="宋体" w:eastAsia="宋体" w:cs="宋体"/>
                <w:kern w:val="0"/>
                <w:sz w:val="22"/>
              </w:rPr>
            </w:pPr>
            <w:r>
              <w:rPr>
                <w:rFonts w:ascii="宋体" w:hAnsi="宋体" w:eastAsia="宋体" w:cs="宋体"/>
                <w:kern w:val="0"/>
                <w:sz w:val="22"/>
              </w:rPr>
              <w:t xml:space="preserve">0.15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湖南省少年儿童图书馆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无</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Times New Roman" w:hAnsi="Times New Roman" w:eastAsia="仿宋_GB2312" w:cs="Times New Roman"/>
                <w:color w:val="000000"/>
                <w:kern w:val="0"/>
                <w:szCs w:val="21"/>
              </w:rPr>
              <w:t>湖南省少年儿童图书馆</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2021年度收、支总计2259.02万元。与上年相比，减少107.13万元，减少4.53%，主要是因为</w:t>
      </w:r>
      <w:r>
        <w:rPr>
          <w:rFonts w:hint="eastAsia" w:asciiTheme="minorEastAsia" w:hAnsiTheme="minorEastAsia" w:eastAsiaTheme="minorEastAsia"/>
          <w:sz w:val="32"/>
          <w:szCs w:val="32"/>
          <w:highlight w:val="none"/>
        </w:rPr>
        <w:t>上年度有</w:t>
      </w:r>
      <w:r>
        <w:rPr>
          <w:rFonts w:hint="eastAsia" w:asciiTheme="minorEastAsia" w:hAnsiTheme="minorEastAsia" w:eastAsiaTheme="minorEastAsia"/>
          <w:sz w:val="32"/>
          <w:szCs w:val="32"/>
        </w:rPr>
        <w:t>根据行政事业会计制度改革确认历年收入。</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1880.68万元，其中：财政拨款收入1876.19万元，占99.76%；上级补助收入0.00万元，占0.00%；事业收入0.00万元，占0.00%；经营收入0.00万元，占0.00%；附属单位上缴收入0.00万元，占0.00%；其他收入4.49万元，占0.24%。</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2021年度支出合计1888.14万元，其中：基本支出1134.07万元，占60.06%；项目支出754.07万元，占39.94%；上缴上级支出0.00万元，占0.00%；经营支出0.00万元，占0.00%；对附属单位补助支出0.00万元，占0.00%。</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2021年度财政拨款收、支总计2231.45万元，与上年相比，增加71.19万元,增长3.30%，主要是因为2021年</w:t>
      </w:r>
      <w:r>
        <w:rPr>
          <w:rFonts w:hint="eastAsia" w:asciiTheme="minorEastAsia" w:hAnsiTheme="minorEastAsia" w:eastAsiaTheme="minorEastAsia"/>
          <w:sz w:val="32"/>
          <w:szCs w:val="32"/>
          <w:highlight w:val="none"/>
        </w:rPr>
        <w:t>新增人员经费及医疗费、抚恤金等。</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2021年度财政拨款支出1860.56万元，占本年支出合计的98.54%，与上年相比，财政拨款支出增加55.56万元，增长3.08%，主要是因为</w:t>
      </w:r>
      <w:r>
        <w:rPr>
          <w:rFonts w:hint="eastAsia" w:asciiTheme="minorEastAsia" w:hAnsiTheme="minorEastAsia" w:eastAsiaTheme="minorEastAsia"/>
          <w:sz w:val="32"/>
          <w:szCs w:val="32"/>
          <w:highlight w:val="none"/>
        </w:rPr>
        <w:t>新增人员经费及医疗费、抚恤金等支出。</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1860.56万元，主要用于以下方面：教育（类）支出2万元，占0.22%;文化旅游体育与传媒支出1603.07万元，占86.16%；社会保障和就业支出117.22万元，占6.30%；卫生健康支出46.87万元，占2.52%；住房保障支出91.40万元，占4.91%。</w:t>
      </w:r>
    </w:p>
    <w:p>
      <w:pPr>
        <w:pStyle w:val="9"/>
        <w:ind w:firstLine="640" w:firstLineChars="20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2021年度财政拨款支出年初预算数为1729.40万元，支出决算数为1860.56万元，完成年初预算的107.58%，其中：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1、教育支出（类）进修及培训（款）培训支出（项）。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年初预算为2.00万元，支出决算为2.00万元，完成年初预算的100.00%，决算数等于年初预算数。</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2、文化旅游体育与传媒（类）文化和旅游（款）图书馆（项）。</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年初预算为1295.5万元，支出决算为1259.83万元，完成年初预算的97.25%，决算数小于年初预算数的主要原</w:t>
      </w:r>
      <w:r>
        <w:rPr>
          <w:rFonts w:hint="eastAsia" w:asciiTheme="minorEastAsia" w:hAnsiTheme="minorEastAsia" w:eastAsiaTheme="minorEastAsia"/>
          <w:sz w:val="32"/>
          <w:szCs w:val="32"/>
          <w:highlight w:val="none"/>
        </w:rPr>
        <w:t>因是：图书文献资料购置费尾款未付。</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文化旅游体育与传媒（类）文化和旅游（款）其他文化和旅游支出（项）。</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年初预算为0.5万元，支出决算为16.99万元，完成年初预算的3398%，决算数大于年初预算数的主要原因是</w:t>
      </w:r>
      <w:r>
        <w:rPr>
          <w:rFonts w:hint="eastAsia" w:asciiTheme="minorEastAsia" w:hAnsiTheme="minorEastAsia" w:eastAsiaTheme="minorEastAsia"/>
          <w:sz w:val="32"/>
          <w:szCs w:val="32"/>
          <w:highlight w:val="none"/>
        </w:rPr>
        <w:t>：年中追加公共数字文化建设智慧图书馆和公共文化云专项20万元。</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文化旅游体育与传媒（类）其他文化旅游体育与传媒支出（款）其他文化旅游体育与传媒支出（项）。</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年初预算为254.00万元，支出决算为326.25万元，完成年初预算的128.44%，决算数大于年初预算数的主要原因是：</w:t>
      </w:r>
      <w:r>
        <w:rPr>
          <w:rFonts w:hint="eastAsia" w:asciiTheme="minorEastAsia" w:hAnsiTheme="minorEastAsia" w:eastAsiaTheme="minorEastAsia"/>
          <w:sz w:val="32"/>
          <w:szCs w:val="32"/>
          <w:highlight w:val="none"/>
        </w:rPr>
        <w:t>图书馆书库大楼加固维修上年结转资金支付106.70万元；年中追加公共文化服务体系建设绩效奖励、新增人员、抚恤金医疗费等支出。</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社会保障和就业支出（类）行政事业单位养老支出（款）机关事业单位基本养老保险缴费支出（项）。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年初预算为81.00万元，支出决算为81.00万元，完成年初预算的100%，决算数等于年初预算数。</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社会保障和就业支出（类）抚恤（款）死亡抚恤（项）。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年初预算为0.00万元，支出决算为36.22万元，决算数大于年初预算数的主要原因是：支</w:t>
      </w:r>
      <w:r>
        <w:rPr>
          <w:rFonts w:hint="eastAsia" w:asciiTheme="minorEastAsia" w:hAnsiTheme="minorEastAsia" w:eastAsiaTheme="minorEastAsia"/>
          <w:sz w:val="32"/>
          <w:szCs w:val="32"/>
          <w:highlight w:val="none"/>
        </w:rPr>
        <w:t>付陈慧中等三人抚恤金及丧葬费。</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卫生健康支出（类）行政事业单位医疗（款）事业单位医疗（项）。</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年初预算为5.00万元，支出决算为46.87万元，完成年初预算的937.40%，决算数大于年初预算数的主要原因是：支</w:t>
      </w:r>
      <w:r>
        <w:rPr>
          <w:rFonts w:hint="eastAsia" w:asciiTheme="minorEastAsia" w:hAnsiTheme="minorEastAsia" w:eastAsiaTheme="minorEastAsia"/>
          <w:sz w:val="32"/>
          <w:szCs w:val="32"/>
          <w:highlight w:val="none"/>
        </w:rPr>
        <w:t>付离休人员医疗费用。</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住房保障支出（类）住房改革支出（款）住房公积金（项）。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年初预算为72.00万元，支出决算为72.00万元，完成年初预算的100%，决算数等于年初预算数。</w:t>
      </w:r>
    </w:p>
    <w:p>
      <w:pPr>
        <w:pStyle w:val="9"/>
        <w:numPr>
          <w:ilvl w:val="0"/>
          <w:numId w:val="2"/>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住房保障支出（类）住房改革支出（款）购房补贴（项）。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年初预算为19.40万元，支出决算为19.40万元，完成年初预算，决算数等于年初预算数。</w:t>
      </w:r>
    </w:p>
    <w:p>
      <w:pPr>
        <w:pStyle w:val="9"/>
        <w:ind w:firstLine="800" w:firstLineChars="25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1132.69万元，其中：人员经费1072.41万元，占基本支出的94.68%,主要包括基本工资、津贴补贴、奖金、绩效工资、机关事业单位基本养老保险缴费、职工基本医疗保险缴费、其他社会保障缴费、住房公积金、离休费、退休费、医疗费补助、奖励金、其他对个人和家庭的补助；公用经费60.28万元，占基本支出的5.32%，主要包括办公费、印刷费、水费、电费、邮电费、物业管理费、差旅费、维修（护）费、培训费、公务接待费、劳务费、委托业务费、工会经费、公务用车运行维护费、其他交通费用、其他商品和服务支出。</w:t>
      </w:r>
    </w:p>
    <w:p>
      <w:pPr>
        <w:pStyle w:val="9"/>
        <w:ind w:firstLine="640" w:firstLineChars="200"/>
        <w:rPr>
          <w:rFonts w:asciiTheme="minorEastAsia" w:hAnsiTheme="minorEastAsia" w:eastAsiaTheme="minorEastAsia"/>
          <w:i/>
          <w:color w:val="FF0000"/>
          <w:sz w:val="32"/>
          <w:szCs w:val="32"/>
        </w:rPr>
      </w:pP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2021年度“三公”经费财政拨款支出预算为3.00万元，支出决算为0.69万元，完成预算的23%，其中：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因公出国（境）费支出预算为0.00万元，支出决算为0.00万元，决算数等于预算数，与上年支出一致。</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公务接待费支出预算为1.00万元，支出决算为0.15万元，完成预算的15.00%，决算数小于预算数的主要原因是严格按照三公经费管理制度，</w:t>
      </w:r>
      <w:r>
        <w:rPr>
          <w:rFonts w:hint="eastAsia" w:asciiTheme="minorEastAsia" w:hAnsiTheme="minorEastAsia" w:eastAsiaTheme="minorEastAsia"/>
          <w:sz w:val="32"/>
          <w:szCs w:val="32"/>
          <w:highlight w:val="none"/>
        </w:rPr>
        <w:t>厉行节约，与上年相比减少0.25万元，减少62.5%,减少的主要原因是严格按照三公经费管理制度，厉行节约。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公务用车购置费支出预算为0.00万元，支出决算为0.00万元，完成预算，决算数等于预算数，与上年支出一致。</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公务用车运行维护费支出预算为2.00万元，支出决算为0.54万元，完成</w:t>
      </w:r>
      <w:r>
        <w:rPr>
          <w:rFonts w:hint="eastAsia" w:asciiTheme="minorEastAsia" w:hAnsiTheme="minorEastAsia" w:eastAsiaTheme="minorEastAsia"/>
          <w:sz w:val="32"/>
          <w:szCs w:val="32"/>
          <w:highlight w:val="none"/>
        </w:rPr>
        <w:t>预算的27%，决算数小于预算数的主要原因是严格按照三公经费管理制度，厉行节约，与上年相比减少1.19万元，减少68.77%,减少的主要原因是严格按照三公经费管理制度，厉行节约。</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2021年度“三公”经费财政拨款支出决算中，公务接待费支出决算0.15万元，占21.74%,因公出国（境）费支出决算0.00万元，占0.00%,公务用车购置费及运行维护费支出决算0.54万元，占78.26%。其中：</w:t>
      </w:r>
    </w:p>
    <w:p>
      <w:pPr>
        <w:pStyle w:val="9"/>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1、因公出国（境）费支出决算为0.00万元，全年安排因公出国（境）团组0个，累计0人次。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2、公务接待费支出决算为0.15万元，全年共接待来访团组1个、来宾27人次，主</w:t>
      </w:r>
      <w:r>
        <w:rPr>
          <w:rFonts w:hint="eastAsia" w:asciiTheme="minorEastAsia" w:hAnsiTheme="minorEastAsia" w:eastAsiaTheme="minorEastAsia"/>
          <w:sz w:val="32"/>
          <w:szCs w:val="32"/>
          <w:highlight w:val="none"/>
        </w:rPr>
        <w:t>要是公务活动接</w:t>
      </w:r>
      <w:r>
        <w:rPr>
          <w:rFonts w:hint="eastAsia" w:asciiTheme="minorEastAsia" w:hAnsiTheme="minorEastAsia" w:eastAsiaTheme="minorEastAsia"/>
          <w:sz w:val="32"/>
          <w:szCs w:val="32"/>
        </w:rPr>
        <w:t>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3、公务用车购置费及运行维护费支出决算为0.54万元，其中：公务用车购置费0.00万元，湖南省少年儿童图书馆更新公务用车0辆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公务用车运行维护费0.54万元，主要</w:t>
      </w:r>
      <w:r>
        <w:rPr>
          <w:rFonts w:hint="eastAsia" w:asciiTheme="minorEastAsia" w:hAnsiTheme="minorEastAsia"/>
          <w:sz w:val="32"/>
          <w:szCs w:val="32"/>
          <w:highlight w:val="none"/>
        </w:rPr>
        <w:t>是公务用车运行维护费，截</w:t>
      </w:r>
      <w:r>
        <w:rPr>
          <w:rFonts w:hint="eastAsia" w:asciiTheme="minorEastAsia" w:hAnsiTheme="minorEastAsia"/>
          <w:sz w:val="32"/>
          <w:szCs w:val="32"/>
        </w:rPr>
        <w:t>止2021年12月31日，我单位开支财政拨款的公务用车保有量为1辆。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本部门2021年度机关运行经费支出0.00万元，与年初预算数一致。</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0.00万元；开支培训费3.60万元，用于购买党员学习用书等1.93万元，用于开展新进人员及党员培训0.12万元，用于开展继续教育培训1.31万元；用于参加“阅读推广人”培育行动0.24万元，人数1人。</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本部门2021年度政府采购支出总额425.28万元，其中：政府采购货物支出233.32万元、政府采购工程支出0.00万元、政府采购服务支出191.96万元。授予中小企业合同金额156.75万元，占政府采购支出总额的36.86%，其中：</w:t>
      </w:r>
      <w:r>
        <w:rPr>
          <w:rFonts w:hint="eastAsia" w:asciiTheme="minorEastAsia" w:hAnsiTheme="minorEastAsia" w:eastAsiaTheme="minorEastAsia"/>
          <w:sz w:val="32"/>
          <w:szCs w:val="32"/>
          <w:highlight w:val="none"/>
        </w:rPr>
        <w:t>授予小微企业合同金额0.00万元，占授予中小企业合同金额的0.00%；</w:t>
      </w:r>
      <w:r>
        <w:rPr>
          <w:rFonts w:hint="eastAsia" w:asciiTheme="minorEastAsia" w:hAnsiTheme="minorEastAsia" w:eastAsiaTheme="minorEastAsia"/>
          <w:sz w:val="32"/>
          <w:szCs w:val="32"/>
        </w:rPr>
        <w:t>货物采购授予中小企业合同金额占货物支出金额的72.13%，工程采购授予中小企业合同金额占工程支出金额的0.00%，服务采购授予中小企业合同金额占服务支出金额的9.61%。</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1辆，其中，主要领导干部用车0辆，机要通信用车0辆、应急保障用车0辆、执法执勤用车0辆、特种专业技术用车0辆、其他用车1辆，其他用车主要是公务用车；单位价值50万元以上通用设备0台（套）；单位价值100万元以上专用设备0台（套）。</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本单位2021年度绩效评价已纳入省文化和旅游厅部门整体绩效评价，绩效报告情况见省文旅厅公示网页。</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1、财政拨款收入：指省级财政当年拨付的资金。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2、其他收入：指除“财政拨款收入”以外的收入。主要是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上级单位拨款、存款利息收入等。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3、基本支出：指为保障机构正常</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运转、完成日常工作任务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而发生的行政单位(含参照公务员法管理的事业单位)履行一般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行政管理职能，维持机关日常运转所必须开支的费用，包括用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于工资、津贴及奖金等的人员经费和用于办公、水电费等的公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用经费。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4、项目支出：指在基本支出之外为完成特定行政任务和事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业发展目标所发生的支出。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5、年初结转和结余：指以前年度尚未完成、结转到本年仍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按原规定用途继续使用的资金，或项目已完成等产生的结余资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金。</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6、年末结转和结余：指单位按有关规定结转到下年或以后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年度继续使用的资金。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7、“三公”经费：纳入财政预决算管理的“三公”经费，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是指用财政拨款安排的因公出国(境)费、公务用车购置及运行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费和公务接待费。其中，因公出国(境)费反映单位因公务出国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(境)的国际旅费、国外城市间交通费、住宿费、伙食费、培训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费、公杂费等支出；公务用车购置及运行费反映单位因公务用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车车辆购置支出(含车辆购置税)及租用费、燃料费、维修费、 过路过桥费、保险费、安全奖励费用等支出；公务接待费反映单位按中央和省委省政府相关规定开支的各类公务接待(含外宾接待)支出。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8、机关运行经费：为保障行政单位(含参照公务员法管理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的事业单位)运行用于购买货物和服务的各项资金，包括办公及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印刷费、邮电费、差旅费、会议费、福利费、日常维修费、专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用材料及一般设备购置费、办公用房水电费、办公用房取暖费、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办公用房物业管理费。</w:t>
      </w:r>
    </w:p>
    <w:p>
      <w:pPr>
        <w:pStyle w:val="9"/>
        <w:ind w:firstLine="800" w:firstLineChars="250"/>
        <w:rPr>
          <w:rFonts w:asciiTheme="minorEastAsia" w:hAnsiTheme="minorEastAsia" w:eastAsiaTheme="minorEastAsia"/>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bookmarkStart w:id="3" w:name="_GoBack"/>
      <w:bookmarkEnd w:id="3"/>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r>
        <w:rPr>
          <w:rFonts w:cs="黑体" w:asciiTheme="minorEastAsia" w:hAnsiTheme="minorEastAsia"/>
          <w:color w:val="000000"/>
          <w:kern w:val="0"/>
          <w:sz w:val="32"/>
          <w:szCs w:val="32"/>
        </w:rPr>
        <w:t>本单位无附件，单位202</w:t>
      </w:r>
      <w:r>
        <w:rPr>
          <w:rFonts w:hint="eastAsia" w:cs="黑体" w:asciiTheme="minorEastAsia" w:hAnsiTheme="minorEastAsia"/>
          <w:color w:val="000000"/>
          <w:kern w:val="0"/>
          <w:sz w:val="32"/>
          <w:szCs w:val="32"/>
        </w:rPr>
        <w:t>1</w:t>
      </w:r>
      <w:r>
        <w:rPr>
          <w:rFonts w:cs="黑体" w:asciiTheme="minorEastAsia" w:hAnsiTheme="minorEastAsia"/>
          <w:color w:val="000000"/>
          <w:kern w:val="0"/>
          <w:sz w:val="32"/>
          <w:szCs w:val="32"/>
        </w:rPr>
        <w:t>年绩效评价情况纳入省文化和旅游厅部门整体支出绩效评价，已在厅门户网统一公开</w:t>
      </w:r>
      <w:r>
        <w:rPr>
          <w:rFonts w:hint="eastAsia"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D05809"/>
    <w:multiLevelType w:val="singleLevel"/>
    <w:tmpl w:val="5AD0580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JkYzVkMjU1M2E1MjhjMGYwMzY2Mjc3Y2NhZTExNTEifQ=="/>
  </w:docVars>
  <w:rsids>
    <w:rsidRoot w:val="004506F9"/>
    <w:rsid w:val="0002229B"/>
    <w:rsid w:val="000273BD"/>
    <w:rsid w:val="000415B7"/>
    <w:rsid w:val="00041E3F"/>
    <w:rsid w:val="00055DAA"/>
    <w:rsid w:val="00061F7B"/>
    <w:rsid w:val="000658A3"/>
    <w:rsid w:val="00074155"/>
    <w:rsid w:val="000873EF"/>
    <w:rsid w:val="000A3F69"/>
    <w:rsid w:val="00103957"/>
    <w:rsid w:val="00107B2F"/>
    <w:rsid w:val="00124A1F"/>
    <w:rsid w:val="00152C6D"/>
    <w:rsid w:val="00162D39"/>
    <w:rsid w:val="001678BD"/>
    <w:rsid w:val="00182373"/>
    <w:rsid w:val="001A0160"/>
    <w:rsid w:val="001A67DB"/>
    <w:rsid w:val="001B3CD5"/>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4B695E"/>
    <w:rsid w:val="00500E5F"/>
    <w:rsid w:val="005122EF"/>
    <w:rsid w:val="0051441A"/>
    <w:rsid w:val="00517C33"/>
    <w:rsid w:val="00517D5F"/>
    <w:rsid w:val="00521AF2"/>
    <w:rsid w:val="00523644"/>
    <w:rsid w:val="0054069E"/>
    <w:rsid w:val="00542402"/>
    <w:rsid w:val="00544866"/>
    <w:rsid w:val="00550F52"/>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1C6B"/>
    <w:rsid w:val="006A22C4"/>
    <w:rsid w:val="006A348B"/>
    <w:rsid w:val="006A351B"/>
    <w:rsid w:val="006B0422"/>
    <w:rsid w:val="006C1B53"/>
    <w:rsid w:val="006D7730"/>
    <w:rsid w:val="006E5284"/>
    <w:rsid w:val="006F13A9"/>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8F4EB9"/>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C7E43"/>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DE3473"/>
    <w:rsid w:val="00E00C7A"/>
    <w:rsid w:val="00E209CF"/>
    <w:rsid w:val="00E37D6C"/>
    <w:rsid w:val="00E55B68"/>
    <w:rsid w:val="00E67BE6"/>
    <w:rsid w:val="00E8683C"/>
    <w:rsid w:val="00EA2B72"/>
    <w:rsid w:val="00EA59E0"/>
    <w:rsid w:val="00F74360"/>
    <w:rsid w:val="00FB462F"/>
    <w:rsid w:val="00FE16FA"/>
    <w:rsid w:val="00FE328A"/>
    <w:rsid w:val="00FE6269"/>
    <w:rsid w:val="00FF5CD6"/>
    <w:rsid w:val="013A5F6A"/>
    <w:rsid w:val="085A570D"/>
    <w:rsid w:val="1B487488"/>
    <w:rsid w:val="1BEF52C0"/>
    <w:rsid w:val="1D1C3424"/>
    <w:rsid w:val="24F8035D"/>
    <w:rsid w:val="266A1992"/>
    <w:rsid w:val="307703ED"/>
    <w:rsid w:val="31452172"/>
    <w:rsid w:val="37DF33A2"/>
    <w:rsid w:val="3DF5552D"/>
    <w:rsid w:val="442E2E03"/>
    <w:rsid w:val="52F43697"/>
    <w:rsid w:val="59184390"/>
    <w:rsid w:val="607B5B6F"/>
    <w:rsid w:val="6539182D"/>
    <w:rsid w:val="6AE26C7C"/>
    <w:rsid w:val="6AEC1C54"/>
    <w:rsid w:val="6C3D5866"/>
    <w:rsid w:val="6E9A3775"/>
    <w:rsid w:val="7CD043B5"/>
    <w:rsid w:val="7D3A5B8B"/>
    <w:rsid w:val="7E64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45BD-7F23-41FA-97E0-697B9A960B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7526</Words>
  <Characters>10624</Characters>
  <Lines>97</Lines>
  <Paragraphs>27</Paragraphs>
  <TotalTime>153</TotalTime>
  <ScaleCrop>false</ScaleCrop>
  <LinksUpToDate>false</LinksUpToDate>
  <CharactersWithSpaces>11911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lenovo</cp:lastModifiedBy>
  <cp:lastPrinted>2022-09-21T07:01:10Z</cp:lastPrinted>
  <dcterms:modified xsi:type="dcterms:W3CDTF">2022-09-21T07:04:37Z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48ACA38DC29F433590B575CCC700F7AD</vt:lpwstr>
  </property>
</Properties>
</file>